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CFD26" w14:textId="77777777" w:rsidR="00EF6250" w:rsidRPr="00EF6250" w:rsidRDefault="00EF6250" w:rsidP="00EF6250">
      <w:pPr>
        <w:pStyle w:val="NormalWeb"/>
        <w:rPr>
          <w:rFonts w:ascii="Arial" w:hAnsi="Arial" w:cs="Arial"/>
          <w:sz w:val="24"/>
          <w:szCs w:val="24"/>
        </w:rPr>
      </w:pPr>
      <w:r w:rsidRPr="00EF6250">
        <w:rPr>
          <w:rFonts w:ascii="Arial" w:hAnsi="Arial" w:cs="Arial"/>
          <w:sz w:val="24"/>
          <w:szCs w:val="24"/>
        </w:rPr>
        <w:t xml:space="preserve">The OCAV is pleased to make a submission to the Elder Abuse Discussion Paper, </w:t>
      </w:r>
      <w:r w:rsidRPr="00EF6250">
        <w:rPr>
          <w:rFonts w:ascii="Arial" w:eastAsia="Times New Roman" w:hAnsi="Arial" w:cs="Arial"/>
          <w:sz w:val="24"/>
          <w:szCs w:val="24"/>
        </w:rPr>
        <w:t>the second consultation document for the Elder Abuse Inquiry, in which the ALRC has been asked to consider existing Commonwealth laws and frameworks which seek to safeguard and protect older persons from misuse or abuse by formal and informal carers, supporters, representatives and others, and to examine the interaction and relationship of these laws with state and territory laws.</w:t>
      </w:r>
    </w:p>
    <w:p w14:paraId="36C87266" w14:textId="77777777" w:rsidR="007E234A" w:rsidRPr="00EF6250" w:rsidRDefault="007E234A" w:rsidP="007E234A">
      <w:pPr>
        <w:pStyle w:val="Heading2"/>
        <w:spacing w:before="0" w:line="240" w:lineRule="auto"/>
        <w:rPr>
          <w:rFonts w:ascii="Arial" w:hAnsi="Arial"/>
          <w:sz w:val="28"/>
          <w:szCs w:val="28"/>
        </w:rPr>
      </w:pPr>
      <w:r w:rsidRPr="00EF6250">
        <w:rPr>
          <w:rFonts w:ascii="Arial" w:hAnsi="Arial"/>
          <w:sz w:val="28"/>
          <w:szCs w:val="28"/>
        </w:rPr>
        <w:t>About us</w:t>
      </w:r>
    </w:p>
    <w:p w14:paraId="42D9737E" w14:textId="77777777" w:rsidR="007E234A" w:rsidRPr="00EF6250" w:rsidRDefault="007E234A" w:rsidP="007E234A">
      <w:pPr>
        <w:spacing w:after="0" w:line="240" w:lineRule="auto"/>
        <w:rPr>
          <w:rFonts w:ascii="Arial" w:hAnsi="Arial"/>
        </w:rPr>
      </w:pPr>
    </w:p>
    <w:p w14:paraId="2B308AB5" w14:textId="77777777" w:rsidR="00EF6250" w:rsidRDefault="00EF6250" w:rsidP="00EF6250">
      <w:pPr>
        <w:pStyle w:val="NormalWeb"/>
        <w:rPr>
          <w:rFonts w:ascii="Arial" w:hAnsi="Arial" w:cs="Arial"/>
          <w:b/>
          <w:sz w:val="24"/>
          <w:szCs w:val="24"/>
        </w:rPr>
      </w:pPr>
      <w:r>
        <w:rPr>
          <w:rFonts w:ascii="Arial" w:hAnsi="Arial" w:cs="Arial"/>
          <w:b/>
          <w:sz w:val="24"/>
          <w:szCs w:val="24"/>
        </w:rPr>
        <w:t>About the Old Colonists’ Association of Victoria</w:t>
      </w:r>
    </w:p>
    <w:p w14:paraId="004604BE" w14:textId="77777777" w:rsidR="00EF6250" w:rsidRPr="00213E85" w:rsidRDefault="00EF6250" w:rsidP="00EF6250">
      <w:pPr>
        <w:pStyle w:val="NormalWeb"/>
        <w:rPr>
          <w:rFonts w:ascii="Arial" w:hAnsi="Arial" w:cs="Arial"/>
          <w:sz w:val="24"/>
          <w:szCs w:val="24"/>
        </w:rPr>
      </w:pPr>
      <w:r w:rsidRPr="00213E85">
        <w:rPr>
          <w:rFonts w:ascii="Arial" w:hAnsi="Arial" w:cs="Arial"/>
          <w:sz w:val="24"/>
          <w:szCs w:val="24"/>
        </w:rPr>
        <w:t>The Old Colonists’ Association of Victoria (OCAV) is a leading not-for-profit retirement village provider offering a continuum of care from independent living, assisted living and aged care in Victoria. Our four villages in Berwick, Euroa, North Fitzroy and St Helena are home to 500 older Victorians in need.</w:t>
      </w:r>
    </w:p>
    <w:p w14:paraId="1930AF56" w14:textId="77777777" w:rsidR="00EF6250" w:rsidRPr="00213E85" w:rsidRDefault="00EF6250" w:rsidP="00EF6250">
      <w:pPr>
        <w:pStyle w:val="NormalWeb"/>
        <w:rPr>
          <w:rFonts w:ascii="Arial" w:hAnsi="Arial" w:cs="Arial"/>
          <w:sz w:val="24"/>
          <w:szCs w:val="24"/>
        </w:rPr>
      </w:pPr>
      <w:r w:rsidRPr="00213E85">
        <w:rPr>
          <w:rFonts w:ascii="Arial" w:hAnsi="Arial" w:cs="Arial"/>
          <w:sz w:val="24"/>
          <w:szCs w:val="24"/>
        </w:rPr>
        <w:t>The OCAV was established in 1869 by Victorian founding fathers including George Selth Coppin, a Member of Parliament and philanthropist. The association</w:t>
      </w:r>
      <w:r>
        <w:rPr>
          <w:rFonts w:ascii="Arial" w:hAnsi="Arial" w:cs="Arial"/>
          <w:sz w:val="24"/>
          <w:szCs w:val="24"/>
        </w:rPr>
        <w:t>’s first village was located at</w:t>
      </w:r>
      <w:r w:rsidRPr="00213E85">
        <w:rPr>
          <w:rFonts w:ascii="Arial" w:hAnsi="Arial" w:cs="Arial"/>
          <w:sz w:val="24"/>
          <w:szCs w:val="24"/>
        </w:rPr>
        <w:t xml:space="preserve"> Rushall Park, North Fitzroy after the Government of Victoria gifted an acreage of land.</w:t>
      </w:r>
    </w:p>
    <w:p w14:paraId="7BC34690" w14:textId="77777777" w:rsidR="00EF6250" w:rsidRDefault="00EF6250" w:rsidP="00EF6250">
      <w:pPr>
        <w:pStyle w:val="NormalWeb"/>
        <w:rPr>
          <w:rFonts w:ascii="Arial" w:hAnsi="Arial" w:cs="Arial"/>
          <w:b/>
          <w:bCs/>
          <w:sz w:val="24"/>
          <w:szCs w:val="24"/>
        </w:rPr>
      </w:pPr>
      <w:r w:rsidRPr="00213E85">
        <w:rPr>
          <w:rStyle w:val="Strong"/>
          <w:rFonts w:ascii="Arial" w:hAnsi="Arial" w:cs="Arial"/>
          <w:sz w:val="24"/>
          <w:szCs w:val="24"/>
        </w:rPr>
        <w:t>Our vision</w:t>
      </w:r>
    </w:p>
    <w:p w14:paraId="0D770619" w14:textId="77777777" w:rsidR="00EF6250" w:rsidRPr="00213E85" w:rsidRDefault="00EF6250" w:rsidP="00EF6250">
      <w:pPr>
        <w:pStyle w:val="NormalWeb"/>
        <w:rPr>
          <w:rFonts w:ascii="Arial" w:hAnsi="Arial" w:cs="Arial"/>
          <w:sz w:val="24"/>
          <w:szCs w:val="24"/>
        </w:rPr>
      </w:pPr>
      <w:r w:rsidRPr="00213E85">
        <w:rPr>
          <w:rFonts w:ascii="Arial" w:hAnsi="Arial" w:cs="Arial"/>
          <w:sz w:val="24"/>
          <w:szCs w:val="24"/>
        </w:rPr>
        <w:t>To be the benchmark provider of affordable, independent community living for elderly Victorians.</w:t>
      </w:r>
    </w:p>
    <w:p w14:paraId="2A319578" w14:textId="77777777" w:rsidR="00EF6250" w:rsidRDefault="00EF6250" w:rsidP="00EF6250">
      <w:pPr>
        <w:pStyle w:val="NormalWeb"/>
        <w:rPr>
          <w:rFonts w:ascii="Arial" w:hAnsi="Arial" w:cs="Arial"/>
          <w:sz w:val="24"/>
          <w:szCs w:val="24"/>
        </w:rPr>
      </w:pPr>
      <w:r w:rsidRPr="00213E85">
        <w:rPr>
          <w:rStyle w:val="Strong"/>
          <w:rFonts w:ascii="Arial" w:hAnsi="Arial" w:cs="Arial"/>
          <w:sz w:val="24"/>
          <w:szCs w:val="24"/>
        </w:rPr>
        <w:t>Our mission</w:t>
      </w:r>
    </w:p>
    <w:p w14:paraId="4B3FF2C3" w14:textId="77777777" w:rsidR="00EF6250" w:rsidRPr="00213E85" w:rsidRDefault="00EF6250" w:rsidP="00EF6250">
      <w:pPr>
        <w:pStyle w:val="NormalWeb"/>
        <w:rPr>
          <w:rFonts w:ascii="Arial" w:hAnsi="Arial" w:cs="Arial"/>
          <w:sz w:val="24"/>
          <w:szCs w:val="24"/>
        </w:rPr>
      </w:pPr>
      <w:r w:rsidRPr="00213E85">
        <w:rPr>
          <w:rFonts w:ascii="Arial" w:hAnsi="Arial" w:cs="Arial"/>
          <w:sz w:val="24"/>
          <w:szCs w:val="24"/>
        </w:rPr>
        <w:t>To advocate and provide affordable, safe and dignified independent homes for older Victorians within a village environment and to offer appropriate and practicable extended care when it is required.</w:t>
      </w:r>
    </w:p>
    <w:p w14:paraId="6F50F855" w14:textId="77777777" w:rsidR="00EF6250" w:rsidRDefault="00EF6250" w:rsidP="00EF6250">
      <w:pPr>
        <w:pStyle w:val="NormalWeb"/>
        <w:rPr>
          <w:rFonts w:ascii="Arial" w:hAnsi="Arial" w:cs="Arial"/>
          <w:sz w:val="24"/>
          <w:szCs w:val="24"/>
        </w:rPr>
      </w:pPr>
      <w:r w:rsidRPr="00213E85">
        <w:rPr>
          <w:rStyle w:val="Strong"/>
          <w:rFonts w:ascii="Arial" w:hAnsi="Arial" w:cs="Arial"/>
          <w:sz w:val="24"/>
          <w:szCs w:val="24"/>
        </w:rPr>
        <w:t>Our values</w:t>
      </w:r>
    </w:p>
    <w:p w14:paraId="1053B863" w14:textId="77777777" w:rsidR="00EF6250" w:rsidRPr="00213E85" w:rsidRDefault="00EF6250" w:rsidP="00EF6250">
      <w:pPr>
        <w:pStyle w:val="NormalWeb"/>
        <w:rPr>
          <w:rFonts w:ascii="Arial" w:hAnsi="Arial" w:cs="Arial"/>
          <w:sz w:val="24"/>
          <w:szCs w:val="24"/>
        </w:rPr>
      </w:pPr>
      <w:r w:rsidRPr="00213E85">
        <w:rPr>
          <w:rFonts w:ascii="Arial" w:hAnsi="Arial" w:cs="Arial"/>
          <w:sz w:val="24"/>
          <w:szCs w:val="24"/>
        </w:rPr>
        <w:t>Safe, Responsible, Dignified, Affordable, Open, Improving</w:t>
      </w:r>
    </w:p>
    <w:p w14:paraId="76D569D4" w14:textId="77777777" w:rsidR="00EF6250" w:rsidRPr="00213E85" w:rsidRDefault="00EF6250" w:rsidP="00EF6250">
      <w:pPr>
        <w:pStyle w:val="NormalWeb"/>
        <w:rPr>
          <w:rFonts w:ascii="Arial" w:hAnsi="Arial" w:cs="Arial"/>
          <w:sz w:val="24"/>
          <w:szCs w:val="24"/>
        </w:rPr>
      </w:pPr>
      <w:r w:rsidRPr="00213E85">
        <w:rPr>
          <w:rStyle w:val="Strong"/>
          <w:rFonts w:ascii="Arial" w:hAnsi="Arial" w:cs="Arial"/>
          <w:sz w:val="24"/>
          <w:szCs w:val="24"/>
        </w:rPr>
        <w:t>Our funding model</w:t>
      </w:r>
      <w:r w:rsidRPr="00213E85">
        <w:rPr>
          <w:rFonts w:ascii="Arial" w:hAnsi="Arial" w:cs="Arial"/>
          <w:sz w:val="24"/>
          <w:szCs w:val="24"/>
        </w:rPr>
        <w:t>: we support capital investment in affordable housing through contributions from those with financial resources and at the same time provide safe and dignified housing for those with very limited or no financial means.</w:t>
      </w:r>
    </w:p>
    <w:p w14:paraId="7449EF3C" w14:textId="77777777" w:rsidR="007E234A" w:rsidRPr="00EF6250" w:rsidRDefault="007E234A" w:rsidP="007E234A">
      <w:pPr>
        <w:spacing w:after="0" w:line="240" w:lineRule="auto"/>
        <w:rPr>
          <w:rFonts w:ascii="Arial" w:hAnsi="Arial"/>
          <w:sz w:val="28"/>
          <w:szCs w:val="28"/>
        </w:rPr>
      </w:pPr>
    </w:p>
    <w:p w14:paraId="536BCF80" w14:textId="77777777" w:rsidR="00EF6250" w:rsidRDefault="00EF6250">
      <w:pPr>
        <w:spacing w:after="0" w:line="240" w:lineRule="auto"/>
        <w:rPr>
          <w:rFonts w:ascii="Arial" w:eastAsiaTheme="majorEastAsia" w:hAnsi="Arial" w:cstheme="majorBidi"/>
          <w:b/>
          <w:bCs/>
          <w:color w:val="4F81BD" w:themeColor="accent1"/>
          <w:sz w:val="28"/>
          <w:szCs w:val="28"/>
        </w:rPr>
      </w:pPr>
      <w:r>
        <w:rPr>
          <w:rFonts w:ascii="Arial" w:hAnsi="Arial"/>
          <w:sz w:val="28"/>
          <w:szCs w:val="28"/>
        </w:rPr>
        <w:br w:type="page"/>
      </w:r>
    </w:p>
    <w:p w14:paraId="6A044155" w14:textId="77777777" w:rsidR="007E234A" w:rsidRPr="00EF6250" w:rsidRDefault="007E234A" w:rsidP="007E234A">
      <w:pPr>
        <w:pStyle w:val="Heading2"/>
        <w:spacing w:before="0" w:line="240" w:lineRule="auto"/>
        <w:rPr>
          <w:rFonts w:ascii="Arial" w:hAnsi="Arial"/>
          <w:sz w:val="28"/>
          <w:szCs w:val="28"/>
        </w:rPr>
      </w:pPr>
      <w:r w:rsidRPr="00EF6250">
        <w:rPr>
          <w:rFonts w:ascii="Arial" w:hAnsi="Arial"/>
          <w:sz w:val="28"/>
          <w:szCs w:val="28"/>
        </w:rPr>
        <w:lastRenderedPageBreak/>
        <w:t>National Plan</w:t>
      </w:r>
    </w:p>
    <w:p w14:paraId="404B3FEE" w14:textId="77777777" w:rsidR="007E234A" w:rsidRPr="00EF6250" w:rsidRDefault="007E234A" w:rsidP="007E234A">
      <w:pPr>
        <w:spacing w:after="0" w:line="240" w:lineRule="auto"/>
        <w:rPr>
          <w:rFonts w:ascii="Arial" w:hAnsi="Arial"/>
        </w:rPr>
      </w:pPr>
    </w:p>
    <w:p w14:paraId="21E07670" w14:textId="77777777" w:rsidR="007E234A" w:rsidRPr="00883F31" w:rsidRDefault="007E234A" w:rsidP="007E234A">
      <w:pPr>
        <w:spacing w:after="0" w:line="240" w:lineRule="auto"/>
        <w:rPr>
          <w:rFonts w:ascii="Arial" w:hAnsi="Arial"/>
          <w:color w:val="4F81BD" w:themeColor="accent1"/>
        </w:rPr>
      </w:pPr>
      <w:r w:rsidRPr="00883F31">
        <w:rPr>
          <w:rFonts w:ascii="Arial" w:hAnsi="Arial"/>
          <w:color w:val="4F81BD" w:themeColor="accent1"/>
        </w:rPr>
        <w:t>Proposal 2-1: A National Plan to address elder abuse should be developed.</w:t>
      </w:r>
    </w:p>
    <w:p w14:paraId="3B2C6C85" w14:textId="77777777" w:rsidR="007E234A" w:rsidRPr="00EF6250" w:rsidRDefault="007E234A" w:rsidP="007E234A">
      <w:pPr>
        <w:spacing w:after="0" w:line="240" w:lineRule="auto"/>
        <w:rPr>
          <w:rFonts w:ascii="Arial" w:hAnsi="Arial"/>
        </w:rPr>
      </w:pPr>
    </w:p>
    <w:p w14:paraId="324C0F3F" w14:textId="77777777" w:rsidR="007E234A" w:rsidRPr="00EF6250" w:rsidRDefault="007E234A" w:rsidP="007E234A">
      <w:pPr>
        <w:spacing w:after="0" w:line="240" w:lineRule="auto"/>
        <w:rPr>
          <w:rFonts w:ascii="Arial" w:hAnsi="Arial"/>
        </w:rPr>
      </w:pPr>
      <w:r w:rsidRPr="00EF6250">
        <w:rPr>
          <w:rFonts w:ascii="Arial" w:hAnsi="Arial"/>
        </w:rPr>
        <w:t>We support this proposal and the four proposed components:</w:t>
      </w:r>
    </w:p>
    <w:p w14:paraId="2AF1B111" w14:textId="77777777" w:rsidR="007E234A" w:rsidRPr="00EF6250" w:rsidRDefault="007E234A" w:rsidP="007E234A">
      <w:pPr>
        <w:spacing w:after="0" w:line="240" w:lineRule="auto"/>
        <w:rPr>
          <w:rFonts w:ascii="Arial" w:hAnsi="Arial"/>
        </w:rPr>
      </w:pPr>
    </w:p>
    <w:p w14:paraId="1522901A" w14:textId="77777777" w:rsidR="007E234A" w:rsidRPr="00EF6250" w:rsidRDefault="007E234A" w:rsidP="007E234A">
      <w:pPr>
        <w:pStyle w:val="ListParagraph"/>
        <w:numPr>
          <w:ilvl w:val="0"/>
          <w:numId w:val="1"/>
        </w:numPr>
        <w:spacing w:after="0" w:line="240" w:lineRule="auto"/>
        <w:rPr>
          <w:rFonts w:ascii="Arial" w:hAnsi="Arial"/>
        </w:rPr>
      </w:pPr>
      <w:r w:rsidRPr="00EF6250">
        <w:rPr>
          <w:rFonts w:ascii="Arial" w:hAnsi="Arial"/>
        </w:rPr>
        <w:t>promoting respectful intergenerational relationships</w:t>
      </w:r>
    </w:p>
    <w:p w14:paraId="69FEEE63" w14:textId="77777777" w:rsidR="007E234A" w:rsidRPr="00EF6250" w:rsidRDefault="007E234A" w:rsidP="007E234A">
      <w:pPr>
        <w:pStyle w:val="ListParagraph"/>
        <w:numPr>
          <w:ilvl w:val="0"/>
          <w:numId w:val="1"/>
        </w:numPr>
        <w:spacing w:after="0" w:line="240" w:lineRule="auto"/>
        <w:rPr>
          <w:rFonts w:ascii="Arial" w:hAnsi="Arial"/>
        </w:rPr>
      </w:pPr>
      <w:r w:rsidRPr="00EF6250">
        <w:rPr>
          <w:rFonts w:ascii="Arial" w:hAnsi="Arial"/>
        </w:rPr>
        <w:t>making systems work together effectively</w:t>
      </w:r>
    </w:p>
    <w:p w14:paraId="740C4DF6" w14:textId="77777777" w:rsidR="007E234A" w:rsidRPr="00EF6250" w:rsidRDefault="007E234A" w:rsidP="007E234A">
      <w:pPr>
        <w:pStyle w:val="ListParagraph"/>
        <w:numPr>
          <w:ilvl w:val="0"/>
          <w:numId w:val="1"/>
        </w:numPr>
        <w:spacing w:after="0" w:line="240" w:lineRule="auto"/>
        <w:rPr>
          <w:rFonts w:ascii="Arial" w:hAnsi="Arial"/>
        </w:rPr>
      </w:pPr>
      <w:r w:rsidRPr="00EF6250">
        <w:rPr>
          <w:rFonts w:ascii="Arial" w:hAnsi="Arial"/>
        </w:rPr>
        <w:t>improving responses to elder abuse</w:t>
      </w:r>
    </w:p>
    <w:p w14:paraId="1717DC31" w14:textId="77777777" w:rsidR="007E234A" w:rsidRPr="00EF6250" w:rsidRDefault="007E234A" w:rsidP="007E234A">
      <w:pPr>
        <w:pStyle w:val="ListParagraph"/>
        <w:numPr>
          <w:ilvl w:val="0"/>
          <w:numId w:val="1"/>
        </w:numPr>
        <w:spacing w:after="0" w:line="240" w:lineRule="auto"/>
        <w:rPr>
          <w:rFonts w:ascii="Arial" w:hAnsi="Arial"/>
        </w:rPr>
      </w:pPr>
      <w:r w:rsidRPr="00EF6250">
        <w:rPr>
          <w:rFonts w:ascii="Arial" w:hAnsi="Arial"/>
        </w:rPr>
        <w:t>improving the evidence base.</w:t>
      </w:r>
    </w:p>
    <w:p w14:paraId="0967072A" w14:textId="77777777" w:rsidR="007E234A" w:rsidRPr="00EF6250" w:rsidRDefault="007E234A" w:rsidP="007E234A">
      <w:pPr>
        <w:spacing w:after="0" w:line="240" w:lineRule="auto"/>
        <w:rPr>
          <w:rFonts w:ascii="Arial" w:hAnsi="Arial"/>
        </w:rPr>
      </w:pPr>
    </w:p>
    <w:p w14:paraId="508A950C" w14:textId="4B95A889" w:rsidR="007E234A" w:rsidRPr="00EF6250" w:rsidRDefault="007E234A" w:rsidP="007E234A">
      <w:pPr>
        <w:spacing w:after="0" w:line="240" w:lineRule="auto"/>
        <w:rPr>
          <w:rFonts w:ascii="Arial" w:hAnsi="Arial"/>
        </w:rPr>
      </w:pPr>
      <w:r w:rsidRPr="00EF6250">
        <w:rPr>
          <w:rFonts w:ascii="Arial" w:hAnsi="Arial"/>
        </w:rPr>
        <w:t xml:space="preserve">We </w:t>
      </w:r>
      <w:r w:rsidR="00EF6250">
        <w:rPr>
          <w:rFonts w:ascii="Arial" w:hAnsi="Arial"/>
        </w:rPr>
        <w:t xml:space="preserve">also </w:t>
      </w:r>
      <w:r w:rsidRPr="00EF6250">
        <w:rPr>
          <w:rFonts w:ascii="Arial" w:hAnsi="Arial"/>
        </w:rPr>
        <w:t>note that the Coalition Federal Government committed $15 million to develop a national p</w:t>
      </w:r>
      <w:r w:rsidR="00FB7B11">
        <w:rPr>
          <w:rFonts w:ascii="Arial" w:hAnsi="Arial"/>
        </w:rPr>
        <w:t>l</w:t>
      </w:r>
      <w:r w:rsidRPr="00EF6250">
        <w:rPr>
          <w:rFonts w:ascii="Arial" w:hAnsi="Arial"/>
        </w:rPr>
        <w:t xml:space="preserve">an during the 2016 Federal Election in its </w:t>
      </w:r>
      <w:hyperlink r:id="rId7" w:history="1">
        <w:r w:rsidRPr="00EF6250">
          <w:rPr>
            <w:rStyle w:val="Hyperlink"/>
            <w:rFonts w:ascii="Arial" w:hAnsi="Arial"/>
            <w:i/>
          </w:rPr>
          <w:t>Policy to Protect the Rights of Older People</w:t>
        </w:r>
      </w:hyperlink>
      <w:r w:rsidRPr="00EF6250">
        <w:rPr>
          <w:rFonts w:ascii="Arial" w:hAnsi="Arial"/>
        </w:rPr>
        <w:t>.</w:t>
      </w:r>
    </w:p>
    <w:p w14:paraId="6F84CF70" w14:textId="77777777" w:rsidR="007E234A" w:rsidRPr="00EF6250" w:rsidRDefault="007E234A" w:rsidP="007E234A">
      <w:pPr>
        <w:spacing w:after="0" w:line="240" w:lineRule="auto"/>
        <w:rPr>
          <w:rFonts w:ascii="Arial" w:hAnsi="Arial"/>
        </w:rPr>
      </w:pPr>
    </w:p>
    <w:p w14:paraId="5516F2F9" w14:textId="77777777" w:rsidR="007E234A" w:rsidRPr="00EF6250" w:rsidRDefault="00EF6250" w:rsidP="007E234A">
      <w:pPr>
        <w:spacing w:after="0" w:line="240" w:lineRule="auto"/>
        <w:rPr>
          <w:rFonts w:ascii="Arial" w:hAnsi="Arial"/>
        </w:rPr>
      </w:pPr>
      <w:r>
        <w:rPr>
          <w:rFonts w:ascii="Arial" w:hAnsi="Arial"/>
        </w:rPr>
        <w:t>Specifically:</w:t>
      </w:r>
    </w:p>
    <w:p w14:paraId="6C741AE3" w14:textId="77777777" w:rsidR="007E234A" w:rsidRPr="00EF6250" w:rsidRDefault="007E234A" w:rsidP="007E234A">
      <w:pPr>
        <w:spacing w:after="0" w:line="240" w:lineRule="auto"/>
        <w:rPr>
          <w:rFonts w:ascii="Arial" w:hAnsi="Arial"/>
        </w:rPr>
      </w:pPr>
    </w:p>
    <w:p w14:paraId="3D386DE7" w14:textId="77777777" w:rsidR="007E234A" w:rsidRPr="00EF6250" w:rsidRDefault="007E234A" w:rsidP="007E234A">
      <w:pPr>
        <w:pStyle w:val="ListParagraph"/>
        <w:numPr>
          <w:ilvl w:val="0"/>
          <w:numId w:val="2"/>
        </w:numPr>
        <w:spacing w:after="0" w:line="240" w:lineRule="auto"/>
        <w:rPr>
          <w:rFonts w:ascii="Arial" w:hAnsi="Arial"/>
          <w:b/>
        </w:rPr>
      </w:pPr>
      <w:r w:rsidRPr="00EF6250">
        <w:rPr>
          <w:rFonts w:ascii="Arial" w:hAnsi="Arial"/>
          <w:b/>
        </w:rPr>
        <w:t>Making systems work together effectively</w:t>
      </w:r>
    </w:p>
    <w:p w14:paraId="38DCFF13" w14:textId="77777777" w:rsidR="007E234A" w:rsidRPr="00EF6250" w:rsidRDefault="007E234A" w:rsidP="007E234A">
      <w:pPr>
        <w:spacing w:after="0" w:line="240" w:lineRule="auto"/>
        <w:rPr>
          <w:rFonts w:ascii="Arial" w:hAnsi="Arial"/>
        </w:rPr>
      </w:pPr>
    </w:p>
    <w:p w14:paraId="113252AC" w14:textId="77777777" w:rsidR="007E234A" w:rsidRPr="00EF6250" w:rsidRDefault="007E234A" w:rsidP="007E234A">
      <w:pPr>
        <w:spacing w:after="0" w:line="240" w:lineRule="auto"/>
        <w:rPr>
          <w:rFonts w:ascii="Arial" w:hAnsi="Arial"/>
        </w:rPr>
      </w:pPr>
      <w:r w:rsidRPr="00EF6250">
        <w:rPr>
          <w:rFonts w:ascii="Arial" w:hAnsi="Arial"/>
        </w:rPr>
        <w:t>We agree that a national approach, with consistent laws and coordinated responses is a key el</w:t>
      </w:r>
      <w:r w:rsidR="00EF6250">
        <w:rPr>
          <w:rFonts w:ascii="Arial" w:hAnsi="Arial"/>
        </w:rPr>
        <w:t xml:space="preserve">ement in addressing elder abuse. </w:t>
      </w:r>
      <w:r w:rsidRPr="00EF6250">
        <w:rPr>
          <w:rFonts w:ascii="Arial" w:hAnsi="Arial"/>
        </w:rPr>
        <w:t xml:space="preserve">The National Plan should consolidate the work that has been (or is being) undertaken across the states and territories.  </w:t>
      </w:r>
    </w:p>
    <w:p w14:paraId="529A50FF" w14:textId="77777777" w:rsidR="007E234A" w:rsidRPr="00EF6250" w:rsidRDefault="007E234A" w:rsidP="007E234A">
      <w:pPr>
        <w:spacing w:after="0" w:line="240" w:lineRule="auto"/>
        <w:rPr>
          <w:rFonts w:ascii="Arial" w:hAnsi="Arial"/>
        </w:rPr>
      </w:pPr>
    </w:p>
    <w:p w14:paraId="05222F8A" w14:textId="77777777" w:rsidR="007E234A" w:rsidRPr="00EF6250" w:rsidRDefault="007E234A" w:rsidP="007E234A">
      <w:pPr>
        <w:pStyle w:val="ListParagraph"/>
        <w:numPr>
          <w:ilvl w:val="0"/>
          <w:numId w:val="2"/>
        </w:numPr>
        <w:spacing w:after="0" w:line="240" w:lineRule="auto"/>
        <w:rPr>
          <w:rFonts w:ascii="Arial" w:hAnsi="Arial"/>
          <w:b/>
        </w:rPr>
      </w:pPr>
      <w:r w:rsidRPr="00EF6250">
        <w:rPr>
          <w:rFonts w:ascii="Arial" w:hAnsi="Arial"/>
          <w:b/>
        </w:rPr>
        <w:t>Improving responses to elder abuse</w:t>
      </w:r>
    </w:p>
    <w:p w14:paraId="0B868000" w14:textId="77777777" w:rsidR="007E234A" w:rsidRPr="00EF6250" w:rsidRDefault="007E234A" w:rsidP="007E234A">
      <w:pPr>
        <w:spacing w:after="0" w:line="240" w:lineRule="auto"/>
        <w:rPr>
          <w:rFonts w:ascii="Arial" w:hAnsi="Arial"/>
        </w:rPr>
      </w:pPr>
    </w:p>
    <w:p w14:paraId="41E942B0" w14:textId="77777777" w:rsidR="007E234A" w:rsidRPr="00EF6250" w:rsidRDefault="007E234A" w:rsidP="007E234A">
      <w:pPr>
        <w:spacing w:after="0" w:line="240" w:lineRule="auto"/>
        <w:rPr>
          <w:rFonts w:ascii="Arial" w:hAnsi="Arial"/>
        </w:rPr>
      </w:pPr>
      <w:r w:rsidRPr="00EF6250">
        <w:rPr>
          <w:rFonts w:ascii="Arial" w:hAnsi="Arial"/>
        </w:rPr>
        <w:t>We agree that in addition to national consistency, training people who deal with older people to recognise and respond to elder abuse, improved accessibility of services, and better responses to perpetrators</w:t>
      </w:r>
      <w:r w:rsidR="00EF6250">
        <w:rPr>
          <w:rFonts w:ascii="Arial" w:hAnsi="Arial"/>
        </w:rPr>
        <w:t xml:space="preserve"> are crucial</w:t>
      </w:r>
      <w:r w:rsidRPr="00EF6250">
        <w:rPr>
          <w:rFonts w:ascii="Arial" w:hAnsi="Arial"/>
        </w:rPr>
        <w:t xml:space="preserve">.  </w:t>
      </w:r>
    </w:p>
    <w:p w14:paraId="2CB026BE" w14:textId="77777777" w:rsidR="007E234A" w:rsidRPr="00EF6250" w:rsidRDefault="007E234A" w:rsidP="007E234A">
      <w:pPr>
        <w:spacing w:after="0" w:line="240" w:lineRule="auto"/>
        <w:rPr>
          <w:rFonts w:ascii="Arial" w:hAnsi="Arial"/>
        </w:rPr>
      </w:pPr>
    </w:p>
    <w:p w14:paraId="7CCB0177" w14:textId="77777777" w:rsidR="007E234A" w:rsidRPr="00EF6250" w:rsidRDefault="007E234A" w:rsidP="007E234A">
      <w:pPr>
        <w:pStyle w:val="ListParagraph"/>
        <w:numPr>
          <w:ilvl w:val="0"/>
          <w:numId w:val="2"/>
        </w:numPr>
        <w:spacing w:after="0" w:line="240" w:lineRule="auto"/>
        <w:rPr>
          <w:rFonts w:ascii="Arial" w:hAnsi="Arial"/>
          <w:b/>
        </w:rPr>
      </w:pPr>
      <w:r w:rsidRPr="00EF6250">
        <w:rPr>
          <w:rFonts w:ascii="Arial" w:hAnsi="Arial"/>
          <w:b/>
        </w:rPr>
        <w:t xml:space="preserve">Improving the evidence base </w:t>
      </w:r>
    </w:p>
    <w:p w14:paraId="13042626" w14:textId="77777777" w:rsidR="007E234A" w:rsidRPr="00EF6250" w:rsidRDefault="007E234A" w:rsidP="007E234A">
      <w:pPr>
        <w:spacing w:after="0" w:line="240" w:lineRule="auto"/>
        <w:rPr>
          <w:rFonts w:ascii="Arial" w:hAnsi="Arial"/>
        </w:rPr>
      </w:pPr>
    </w:p>
    <w:p w14:paraId="21383348" w14:textId="77777777" w:rsidR="007E234A" w:rsidRPr="00883F31" w:rsidRDefault="007E234A" w:rsidP="007E234A">
      <w:pPr>
        <w:spacing w:after="0" w:line="240" w:lineRule="auto"/>
        <w:rPr>
          <w:rFonts w:ascii="Arial" w:hAnsi="Arial"/>
          <w:color w:val="4F81BD" w:themeColor="accent1"/>
        </w:rPr>
      </w:pPr>
      <w:r w:rsidRPr="00883F31">
        <w:rPr>
          <w:rFonts w:ascii="Arial" w:hAnsi="Arial"/>
          <w:color w:val="4F81BD" w:themeColor="accent1"/>
        </w:rPr>
        <w:t>Proposal 2-2: A national prevalence study of elder abuse should be commissioned.</w:t>
      </w:r>
    </w:p>
    <w:p w14:paraId="041422D5" w14:textId="77777777" w:rsidR="007E234A" w:rsidRPr="00EF6250" w:rsidRDefault="007E234A" w:rsidP="007E234A">
      <w:pPr>
        <w:spacing w:after="0" w:line="240" w:lineRule="auto"/>
        <w:rPr>
          <w:rFonts w:ascii="Arial" w:hAnsi="Arial"/>
        </w:rPr>
      </w:pPr>
    </w:p>
    <w:p w14:paraId="1388F868" w14:textId="7BD96A38" w:rsidR="007E234A" w:rsidRPr="00EF6250" w:rsidRDefault="007E234A" w:rsidP="007E234A">
      <w:pPr>
        <w:spacing w:after="0" w:line="240" w:lineRule="auto"/>
        <w:rPr>
          <w:rFonts w:ascii="Arial" w:hAnsi="Arial"/>
        </w:rPr>
      </w:pPr>
      <w:r w:rsidRPr="00EF6250">
        <w:rPr>
          <w:rFonts w:ascii="Arial" w:hAnsi="Arial"/>
        </w:rPr>
        <w:t>We strongly support the proposal for a national prevalence study and reiterate our previous comments about specific issues to be consi</w:t>
      </w:r>
      <w:r w:rsidR="00EF6250">
        <w:rPr>
          <w:rFonts w:ascii="Arial" w:hAnsi="Arial"/>
        </w:rPr>
        <w:t xml:space="preserve">dered in establishing the study. We defer to the submission by NARI and AAG about ensuring the evidence-base approach is comprehensive, and includes the risk factors, and how aged care providers are </w:t>
      </w:r>
      <w:r w:rsidR="00FB7B11">
        <w:rPr>
          <w:rFonts w:ascii="Arial" w:hAnsi="Arial"/>
        </w:rPr>
        <w:t xml:space="preserve">to </w:t>
      </w:r>
      <w:bookmarkStart w:id="0" w:name="_GoBack"/>
      <w:bookmarkEnd w:id="0"/>
      <w:r w:rsidR="00EF6250">
        <w:rPr>
          <w:rFonts w:ascii="Arial" w:hAnsi="Arial"/>
        </w:rPr>
        <w:t>collect and report data.</w:t>
      </w:r>
    </w:p>
    <w:p w14:paraId="08AE7C03" w14:textId="77777777" w:rsidR="007E234A" w:rsidRPr="00EF6250" w:rsidRDefault="007E234A" w:rsidP="007E234A">
      <w:pPr>
        <w:spacing w:after="0" w:line="240" w:lineRule="auto"/>
        <w:rPr>
          <w:rFonts w:ascii="Arial" w:hAnsi="Arial"/>
        </w:rPr>
      </w:pPr>
    </w:p>
    <w:p w14:paraId="28D8247B" w14:textId="77777777" w:rsidR="007E234A" w:rsidRPr="00EF6250" w:rsidRDefault="007E234A" w:rsidP="007E234A">
      <w:pPr>
        <w:pStyle w:val="Heading2"/>
        <w:spacing w:before="0" w:line="240" w:lineRule="auto"/>
        <w:rPr>
          <w:rFonts w:ascii="Arial" w:hAnsi="Arial"/>
          <w:sz w:val="28"/>
          <w:szCs w:val="28"/>
        </w:rPr>
      </w:pPr>
      <w:r w:rsidRPr="00EF6250">
        <w:rPr>
          <w:rFonts w:ascii="Arial" w:hAnsi="Arial"/>
          <w:sz w:val="28"/>
          <w:szCs w:val="28"/>
        </w:rPr>
        <w:t>Powers of investigation</w:t>
      </w:r>
    </w:p>
    <w:p w14:paraId="06FC4EAA" w14:textId="77777777" w:rsidR="007E234A" w:rsidRPr="00EF6250" w:rsidRDefault="007E234A" w:rsidP="007E234A">
      <w:pPr>
        <w:spacing w:after="0" w:line="240" w:lineRule="auto"/>
        <w:rPr>
          <w:rFonts w:ascii="Arial" w:hAnsi="Arial"/>
        </w:rPr>
      </w:pPr>
    </w:p>
    <w:p w14:paraId="18628A48" w14:textId="77777777" w:rsidR="007E234A" w:rsidRPr="00883F31" w:rsidRDefault="007E234A" w:rsidP="007E234A">
      <w:pPr>
        <w:spacing w:after="0" w:line="240" w:lineRule="auto"/>
        <w:rPr>
          <w:rFonts w:ascii="Arial" w:hAnsi="Arial"/>
          <w:color w:val="4F81BD" w:themeColor="accent1"/>
        </w:rPr>
      </w:pPr>
      <w:r w:rsidRPr="00883F31">
        <w:rPr>
          <w:rFonts w:ascii="Arial" w:hAnsi="Arial"/>
          <w:color w:val="4F81BD" w:themeColor="accent1"/>
        </w:rPr>
        <w:t>Proposal 3-1: State and territory public advocates or public guardians should be given the power to investigate elder abuse where they have a reasonable cause to suspect that an older person:</w:t>
      </w:r>
    </w:p>
    <w:p w14:paraId="175F9A51" w14:textId="77777777" w:rsidR="007E234A" w:rsidRPr="00883F31" w:rsidRDefault="007E234A" w:rsidP="007E234A">
      <w:pPr>
        <w:spacing w:after="0" w:line="240" w:lineRule="auto"/>
        <w:rPr>
          <w:rFonts w:ascii="Arial" w:hAnsi="Arial"/>
          <w:color w:val="4F81BD" w:themeColor="accent1"/>
        </w:rPr>
      </w:pPr>
    </w:p>
    <w:p w14:paraId="49AFC4B5" w14:textId="77777777" w:rsidR="007E234A" w:rsidRPr="00883F31" w:rsidRDefault="007E234A" w:rsidP="007E234A">
      <w:pPr>
        <w:pStyle w:val="ListParagraph"/>
        <w:numPr>
          <w:ilvl w:val="0"/>
          <w:numId w:val="5"/>
        </w:numPr>
        <w:spacing w:after="0" w:line="240" w:lineRule="auto"/>
        <w:rPr>
          <w:rFonts w:ascii="Arial" w:hAnsi="Arial"/>
          <w:color w:val="4F81BD" w:themeColor="accent1"/>
        </w:rPr>
      </w:pPr>
      <w:r w:rsidRPr="00883F31">
        <w:rPr>
          <w:rFonts w:ascii="Arial" w:hAnsi="Arial"/>
          <w:color w:val="4F81BD" w:themeColor="accent1"/>
        </w:rPr>
        <w:t>has care and support needs;</w:t>
      </w:r>
    </w:p>
    <w:p w14:paraId="771A1ED4" w14:textId="77777777" w:rsidR="007E234A" w:rsidRPr="00883F31" w:rsidRDefault="007E234A" w:rsidP="007E234A">
      <w:pPr>
        <w:pStyle w:val="ListParagraph"/>
        <w:numPr>
          <w:ilvl w:val="0"/>
          <w:numId w:val="5"/>
        </w:numPr>
        <w:spacing w:after="0" w:line="240" w:lineRule="auto"/>
        <w:rPr>
          <w:rFonts w:ascii="Arial" w:hAnsi="Arial"/>
          <w:color w:val="4F81BD" w:themeColor="accent1"/>
        </w:rPr>
      </w:pPr>
      <w:r w:rsidRPr="00883F31">
        <w:rPr>
          <w:rFonts w:ascii="Arial" w:hAnsi="Arial"/>
          <w:color w:val="4F81BD" w:themeColor="accent1"/>
        </w:rPr>
        <w:t>is, or is at risk of, being abused or neglected; and</w:t>
      </w:r>
    </w:p>
    <w:p w14:paraId="401DAB5E" w14:textId="77777777" w:rsidR="007E234A" w:rsidRPr="00883F31" w:rsidRDefault="007E234A" w:rsidP="007E234A">
      <w:pPr>
        <w:pStyle w:val="ListParagraph"/>
        <w:numPr>
          <w:ilvl w:val="0"/>
          <w:numId w:val="5"/>
        </w:numPr>
        <w:spacing w:after="0" w:line="240" w:lineRule="auto"/>
        <w:rPr>
          <w:rFonts w:ascii="Arial" w:hAnsi="Arial"/>
          <w:color w:val="4F81BD" w:themeColor="accent1"/>
        </w:rPr>
      </w:pPr>
      <w:r w:rsidRPr="00883F31">
        <w:rPr>
          <w:rFonts w:ascii="Arial" w:hAnsi="Arial"/>
          <w:color w:val="4F81BD" w:themeColor="accent1"/>
        </w:rPr>
        <w:t>is unable to protect themselves from the abuse or neglect, or the risk of it because of care and support needs.</w:t>
      </w:r>
    </w:p>
    <w:p w14:paraId="4D4414D5" w14:textId="77777777" w:rsidR="007E234A" w:rsidRPr="00EF6250" w:rsidRDefault="007E234A" w:rsidP="007E234A">
      <w:pPr>
        <w:spacing w:after="0" w:line="240" w:lineRule="auto"/>
        <w:rPr>
          <w:rFonts w:ascii="Arial" w:hAnsi="Arial"/>
        </w:rPr>
      </w:pPr>
    </w:p>
    <w:p w14:paraId="47E0077F" w14:textId="77777777" w:rsidR="007E234A" w:rsidRPr="00EF6250" w:rsidRDefault="00EF6250" w:rsidP="007E234A">
      <w:pPr>
        <w:spacing w:after="0" w:line="240" w:lineRule="auto"/>
        <w:rPr>
          <w:rFonts w:ascii="Arial" w:hAnsi="Arial"/>
        </w:rPr>
      </w:pPr>
      <w:r>
        <w:rPr>
          <w:rFonts w:ascii="Arial" w:hAnsi="Arial"/>
        </w:rPr>
        <w:t>We</w:t>
      </w:r>
      <w:r w:rsidR="007E234A" w:rsidRPr="00EF6250">
        <w:rPr>
          <w:rFonts w:ascii="Arial" w:hAnsi="Arial"/>
        </w:rPr>
        <w:t xml:space="preserve"> believe further consideration and consultation is needed </w:t>
      </w:r>
      <w:r>
        <w:rPr>
          <w:rFonts w:ascii="Arial" w:hAnsi="Arial"/>
        </w:rPr>
        <w:t>specifically about:</w:t>
      </w:r>
    </w:p>
    <w:p w14:paraId="788C5DFD" w14:textId="77777777" w:rsidR="007E234A" w:rsidRPr="00EF6250" w:rsidRDefault="007E234A" w:rsidP="007E234A">
      <w:pPr>
        <w:spacing w:after="0" w:line="240" w:lineRule="auto"/>
        <w:rPr>
          <w:rFonts w:ascii="Arial" w:hAnsi="Arial"/>
        </w:rPr>
      </w:pPr>
    </w:p>
    <w:p w14:paraId="3BFE9E5C" w14:textId="77777777" w:rsidR="00EF6250" w:rsidRDefault="007E234A" w:rsidP="00EF6250">
      <w:pPr>
        <w:pStyle w:val="ListParagraph"/>
        <w:numPr>
          <w:ilvl w:val="0"/>
          <w:numId w:val="6"/>
        </w:numPr>
        <w:spacing w:after="0" w:line="240" w:lineRule="auto"/>
        <w:rPr>
          <w:rFonts w:ascii="Arial" w:hAnsi="Arial"/>
        </w:rPr>
      </w:pPr>
      <w:r w:rsidRPr="00EF6250">
        <w:rPr>
          <w:rFonts w:ascii="Arial" w:hAnsi="Arial"/>
        </w:rPr>
        <w:t>the definiti</w:t>
      </w:r>
      <w:r w:rsidR="00EF6250">
        <w:rPr>
          <w:rFonts w:ascii="Arial" w:hAnsi="Arial"/>
        </w:rPr>
        <w:t xml:space="preserve">on of ‘care and support needs’ – should it </w:t>
      </w:r>
      <w:r w:rsidRPr="00EF6250">
        <w:rPr>
          <w:rFonts w:ascii="Arial" w:hAnsi="Arial"/>
        </w:rPr>
        <w:t xml:space="preserve">include physical restraint but exclude other forms of restrictive practices? </w:t>
      </w:r>
    </w:p>
    <w:p w14:paraId="320DF52E" w14:textId="77777777" w:rsidR="00EF6250" w:rsidRPr="00EF6250" w:rsidRDefault="00EF6250" w:rsidP="00EF6250">
      <w:pPr>
        <w:pStyle w:val="ListParagraph"/>
        <w:numPr>
          <w:ilvl w:val="0"/>
          <w:numId w:val="6"/>
        </w:numPr>
        <w:spacing w:after="0" w:line="240" w:lineRule="auto"/>
        <w:rPr>
          <w:rFonts w:ascii="Arial" w:hAnsi="Arial"/>
        </w:rPr>
      </w:pPr>
      <w:r>
        <w:rPr>
          <w:rFonts w:ascii="Arial" w:hAnsi="Arial"/>
        </w:rPr>
        <w:t>How will public advocates or guardians be funded?</w:t>
      </w:r>
    </w:p>
    <w:p w14:paraId="5C83C3AB" w14:textId="77777777" w:rsidR="007E234A" w:rsidRPr="00883F31" w:rsidRDefault="007E234A" w:rsidP="007E234A">
      <w:pPr>
        <w:spacing w:after="0" w:line="240" w:lineRule="auto"/>
        <w:rPr>
          <w:rFonts w:ascii="Arial" w:hAnsi="Arial"/>
          <w:color w:val="4F81BD" w:themeColor="accent1"/>
        </w:rPr>
      </w:pPr>
      <w:r w:rsidRPr="00883F31">
        <w:rPr>
          <w:rFonts w:ascii="Arial" w:hAnsi="Arial"/>
          <w:color w:val="4F81BD" w:themeColor="accent1"/>
        </w:rPr>
        <w:lastRenderedPageBreak/>
        <w:t>Proposal 3-3: Public advocates or public guardians should have the power to require that a person, other than the older person:</w:t>
      </w:r>
    </w:p>
    <w:p w14:paraId="45F66EC8" w14:textId="77777777" w:rsidR="007E234A" w:rsidRPr="00883F31" w:rsidRDefault="007E234A" w:rsidP="007E234A">
      <w:pPr>
        <w:spacing w:after="0" w:line="240" w:lineRule="auto"/>
        <w:rPr>
          <w:rFonts w:ascii="Arial" w:hAnsi="Arial"/>
          <w:color w:val="4F81BD" w:themeColor="accent1"/>
        </w:rPr>
      </w:pPr>
    </w:p>
    <w:p w14:paraId="1A04CB92" w14:textId="77777777" w:rsidR="007E234A" w:rsidRPr="00883F31" w:rsidRDefault="007E234A" w:rsidP="007E234A">
      <w:pPr>
        <w:pStyle w:val="ListParagraph"/>
        <w:numPr>
          <w:ilvl w:val="0"/>
          <w:numId w:val="8"/>
        </w:numPr>
        <w:spacing w:after="0" w:line="240" w:lineRule="auto"/>
        <w:rPr>
          <w:rFonts w:ascii="Arial" w:hAnsi="Arial"/>
          <w:color w:val="4F81BD" w:themeColor="accent1"/>
        </w:rPr>
      </w:pPr>
      <w:r w:rsidRPr="00883F31">
        <w:rPr>
          <w:rFonts w:ascii="Arial" w:hAnsi="Arial"/>
          <w:color w:val="4F81BD" w:themeColor="accent1"/>
        </w:rPr>
        <w:t>furnish information;</w:t>
      </w:r>
    </w:p>
    <w:p w14:paraId="45025C82" w14:textId="77777777" w:rsidR="007E234A" w:rsidRPr="00883F31" w:rsidRDefault="007E234A" w:rsidP="007E234A">
      <w:pPr>
        <w:pStyle w:val="ListParagraph"/>
        <w:numPr>
          <w:ilvl w:val="0"/>
          <w:numId w:val="8"/>
        </w:numPr>
        <w:spacing w:after="0" w:line="240" w:lineRule="auto"/>
        <w:rPr>
          <w:rFonts w:ascii="Arial" w:hAnsi="Arial"/>
          <w:color w:val="4F81BD" w:themeColor="accent1"/>
        </w:rPr>
      </w:pPr>
      <w:r w:rsidRPr="00883F31">
        <w:rPr>
          <w:rFonts w:ascii="Arial" w:hAnsi="Arial"/>
          <w:color w:val="4F81BD" w:themeColor="accent1"/>
        </w:rPr>
        <w:t>produce documents; or</w:t>
      </w:r>
    </w:p>
    <w:p w14:paraId="06A3B11C" w14:textId="77777777" w:rsidR="007E234A" w:rsidRPr="00883F31" w:rsidRDefault="007E234A" w:rsidP="007E234A">
      <w:pPr>
        <w:pStyle w:val="ListParagraph"/>
        <w:numPr>
          <w:ilvl w:val="0"/>
          <w:numId w:val="8"/>
        </w:numPr>
        <w:spacing w:after="0" w:line="240" w:lineRule="auto"/>
        <w:rPr>
          <w:rFonts w:ascii="Arial" w:hAnsi="Arial"/>
          <w:color w:val="4F81BD" w:themeColor="accent1"/>
        </w:rPr>
      </w:pPr>
      <w:r w:rsidRPr="00883F31">
        <w:rPr>
          <w:rFonts w:ascii="Arial" w:hAnsi="Arial"/>
          <w:color w:val="4F81BD" w:themeColor="accent1"/>
        </w:rPr>
        <w:t>participate in an interview relating to an investigation of the abuse or neglect of an older person.</w:t>
      </w:r>
    </w:p>
    <w:p w14:paraId="50CE3665" w14:textId="77777777" w:rsidR="007E234A" w:rsidRPr="00EF6250" w:rsidRDefault="007E234A" w:rsidP="007E234A">
      <w:pPr>
        <w:spacing w:after="0" w:line="240" w:lineRule="auto"/>
        <w:rPr>
          <w:rFonts w:ascii="Arial" w:hAnsi="Arial"/>
        </w:rPr>
      </w:pPr>
    </w:p>
    <w:p w14:paraId="12099583" w14:textId="77777777" w:rsidR="007E234A" w:rsidRPr="00EF6250" w:rsidRDefault="00EF6250" w:rsidP="007E234A">
      <w:pPr>
        <w:spacing w:after="0" w:line="240" w:lineRule="auto"/>
        <w:rPr>
          <w:rFonts w:ascii="Arial" w:hAnsi="Arial"/>
        </w:rPr>
      </w:pPr>
      <w:r>
        <w:rPr>
          <w:rFonts w:ascii="Arial" w:hAnsi="Arial"/>
        </w:rPr>
        <w:t>We</w:t>
      </w:r>
      <w:r w:rsidR="007E234A" w:rsidRPr="00EF6250">
        <w:rPr>
          <w:rFonts w:ascii="Arial" w:hAnsi="Arial"/>
        </w:rPr>
        <w:t xml:space="preserve"> believe further consideration and consultation is required </w:t>
      </w:r>
      <w:r>
        <w:rPr>
          <w:rFonts w:ascii="Arial" w:hAnsi="Arial"/>
        </w:rPr>
        <w:t>regarding the</w:t>
      </w:r>
      <w:r w:rsidR="007E234A" w:rsidRPr="00EF6250">
        <w:rPr>
          <w:rFonts w:ascii="Arial" w:hAnsi="Arial"/>
        </w:rPr>
        <w:t xml:space="preserve"> appropriate legal safeguards for people furnishing information, providing documents or participating in interviews, for example:</w:t>
      </w:r>
    </w:p>
    <w:p w14:paraId="14B98DBF" w14:textId="77777777" w:rsidR="007E234A" w:rsidRPr="00EF6250" w:rsidRDefault="007E234A" w:rsidP="007E234A">
      <w:pPr>
        <w:spacing w:after="0" w:line="240" w:lineRule="auto"/>
        <w:rPr>
          <w:rFonts w:ascii="Arial" w:hAnsi="Arial"/>
        </w:rPr>
      </w:pPr>
    </w:p>
    <w:p w14:paraId="2D7F92FB" w14:textId="77777777" w:rsidR="007E234A" w:rsidRPr="00EF6250" w:rsidRDefault="007E234A" w:rsidP="007E234A">
      <w:pPr>
        <w:pStyle w:val="ListParagraph"/>
        <w:numPr>
          <w:ilvl w:val="0"/>
          <w:numId w:val="9"/>
        </w:numPr>
        <w:spacing w:after="0" w:line="240" w:lineRule="auto"/>
        <w:rPr>
          <w:rFonts w:ascii="Arial" w:hAnsi="Arial"/>
        </w:rPr>
      </w:pPr>
      <w:r w:rsidRPr="00EF6250">
        <w:rPr>
          <w:rFonts w:ascii="Arial" w:hAnsi="Arial"/>
        </w:rPr>
        <w:t>the right to silence</w:t>
      </w:r>
    </w:p>
    <w:p w14:paraId="123682AD" w14:textId="77777777" w:rsidR="007E234A" w:rsidRPr="00EF6250" w:rsidRDefault="007E234A" w:rsidP="007E234A">
      <w:pPr>
        <w:pStyle w:val="ListParagraph"/>
        <w:numPr>
          <w:ilvl w:val="0"/>
          <w:numId w:val="9"/>
        </w:numPr>
        <w:spacing w:after="0" w:line="240" w:lineRule="auto"/>
        <w:rPr>
          <w:rFonts w:ascii="Arial" w:hAnsi="Arial"/>
        </w:rPr>
      </w:pPr>
      <w:r w:rsidRPr="00EF6250">
        <w:rPr>
          <w:rFonts w:ascii="Arial" w:hAnsi="Arial"/>
        </w:rPr>
        <w:t>the right to seek legal advice</w:t>
      </w:r>
    </w:p>
    <w:p w14:paraId="503FD201" w14:textId="77777777" w:rsidR="007E234A" w:rsidRPr="00EF6250" w:rsidRDefault="007E234A" w:rsidP="007E234A">
      <w:pPr>
        <w:pStyle w:val="ListParagraph"/>
        <w:numPr>
          <w:ilvl w:val="0"/>
          <w:numId w:val="9"/>
        </w:numPr>
        <w:spacing w:after="0" w:line="240" w:lineRule="auto"/>
        <w:rPr>
          <w:rFonts w:ascii="Arial" w:hAnsi="Arial"/>
        </w:rPr>
      </w:pPr>
      <w:r w:rsidRPr="00EF6250">
        <w:rPr>
          <w:rFonts w:ascii="Arial" w:hAnsi="Arial"/>
        </w:rPr>
        <w:t>the privilege against self-incrimination.</w:t>
      </w:r>
    </w:p>
    <w:p w14:paraId="3B68622E" w14:textId="77777777" w:rsidR="007E234A" w:rsidRPr="00EF6250" w:rsidRDefault="007E234A" w:rsidP="007E234A">
      <w:pPr>
        <w:spacing w:after="0" w:line="240" w:lineRule="auto"/>
        <w:rPr>
          <w:rFonts w:ascii="Arial" w:hAnsi="Arial"/>
        </w:rPr>
      </w:pPr>
    </w:p>
    <w:p w14:paraId="2E8B552E" w14:textId="77777777" w:rsidR="007E234A" w:rsidRPr="00EF6250" w:rsidRDefault="007E234A" w:rsidP="007E234A">
      <w:pPr>
        <w:spacing w:after="0" w:line="240" w:lineRule="auto"/>
        <w:rPr>
          <w:rFonts w:ascii="Arial" w:hAnsi="Arial"/>
        </w:rPr>
      </w:pPr>
    </w:p>
    <w:p w14:paraId="324F90B7" w14:textId="77777777" w:rsidR="007E234A" w:rsidRPr="00EF6250" w:rsidRDefault="007E234A" w:rsidP="007E234A">
      <w:pPr>
        <w:pStyle w:val="Heading2"/>
        <w:spacing w:before="0" w:line="240" w:lineRule="auto"/>
        <w:rPr>
          <w:rFonts w:ascii="Arial" w:hAnsi="Arial"/>
        </w:rPr>
      </w:pPr>
      <w:r w:rsidRPr="00EF6250">
        <w:rPr>
          <w:rFonts w:ascii="Arial" w:hAnsi="Arial"/>
        </w:rPr>
        <w:t>Aged care</w:t>
      </w:r>
    </w:p>
    <w:p w14:paraId="316F8F81" w14:textId="77777777" w:rsidR="007E234A" w:rsidRPr="00EF6250" w:rsidRDefault="007E234A" w:rsidP="007E234A">
      <w:pPr>
        <w:spacing w:after="0" w:line="240" w:lineRule="auto"/>
        <w:rPr>
          <w:rFonts w:ascii="Arial" w:hAnsi="Arial"/>
        </w:rPr>
      </w:pPr>
    </w:p>
    <w:p w14:paraId="1FE1053B" w14:textId="77777777" w:rsidR="007E234A" w:rsidRPr="00883F31" w:rsidRDefault="007E234A" w:rsidP="007E234A">
      <w:pPr>
        <w:spacing w:after="0" w:line="240" w:lineRule="auto"/>
        <w:rPr>
          <w:rFonts w:ascii="Arial" w:hAnsi="Arial"/>
          <w:color w:val="4F81BD" w:themeColor="accent1"/>
        </w:rPr>
      </w:pPr>
      <w:r w:rsidRPr="00883F31">
        <w:rPr>
          <w:rFonts w:ascii="Arial" w:hAnsi="Arial"/>
          <w:color w:val="4F81BD" w:themeColor="accent1"/>
        </w:rPr>
        <w:t xml:space="preserve">Proposal 11-1: Aged care legislation should establish a reportable incidents scheme. The scheme should require approved providers to notify reportable incidents to the Aged Care Complaints Commissioner, who will oversee the approved provider’s investigation of and response to those incidents. </w:t>
      </w:r>
    </w:p>
    <w:p w14:paraId="16927936" w14:textId="77777777" w:rsidR="007E234A" w:rsidRPr="00883F31" w:rsidRDefault="007E234A" w:rsidP="007E234A">
      <w:pPr>
        <w:spacing w:after="0" w:line="240" w:lineRule="auto"/>
        <w:rPr>
          <w:rFonts w:ascii="Arial" w:hAnsi="Arial"/>
          <w:color w:val="4F81BD" w:themeColor="accent1"/>
        </w:rPr>
      </w:pPr>
    </w:p>
    <w:p w14:paraId="0C40B8C1" w14:textId="77777777" w:rsidR="007E234A" w:rsidRPr="00883F31" w:rsidRDefault="007E234A" w:rsidP="007E234A">
      <w:pPr>
        <w:spacing w:after="0" w:line="240" w:lineRule="auto"/>
        <w:rPr>
          <w:rFonts w:ascii="Arial" w:hAnsi="Arial"/>
          <w:color w:val="4F81BD" w:themeColor="accent1"/>
        </w:rPr>
      </w:pPr>
      <w:r w:rsidRPr="00883F31">
        <w:rPr>
          <w:rFonts w:ascii="Arial" w:hAnsi="Arial"/>
          <w:color w:val="4F81BD" w:themeColor="accent1"/>
        </w:rPr>
        <w:t xml:space="preserve">Proposal 11-2: The term ‘reportable assault’ in the </w:t>
      </w:r>
      <w:r w:rsidRPr="00883F31">
        <w:rPr>
          <w:rFonts w:ascii="Arial" w:hAnsi="Arial"/>
          <w:i/>
          <w:color w:val="4F81BD" w:themeColor="accent1"/>
        </w:rPr>
        <w:t>Aged Care Act 1997 (Cth)</w:t>
      </w:r>
      <w:r w:rsidRPr="00883F31">
        <w:rPr>
          <w:rFonts w:ascii="Arial" w:hAnsi="Arial"/>
          <w:color w:val="4F81BD" w:themeColor="accent1"/>
        </w:rPr>
        <w:t xml:space="preserve"> should be replaced with ‘reportable incident’. With respect to residential care, ‘reportable incident’ should mean: </w:t>
      </w:r>
    </w:p>
    <w:p w14:paraId="29FC7711" w14:textId="77777777" w:rsidR="007E234A" w:rsidRPr="00883F31" w:rsidRDefault="007E234A" w:rsidP="007E234A">
      <w:pPr>
        <w:spacing w:after="0" w:line="240" w:lineRule="auto"/>
        <w:rPr>
          <w:rFonts w:ascii="Arial" w:hAnsi="Arial"/>
          <w:color w:val="4F81BD" w:themeColor="accent1"/>
        </w:rPr>
      </w:pPr>
    </w:p>
    <w:p w14:paraId="55708E6E" w14:textId="77777777" w:rsidR="007E234A" w:rsidRPr="00883F31" w:rsidRDefault="007E234A" w:rsidP="007E234A">
      <w:pPr>
        <w:pStyle w:val="ListParagraph"/>
        <w:numPr>
          <w:ilvl w:val="0"/>
          <w:numId w:val="13"/>
        </w:numPr>
        <w:spacing w:after="0" w:line="240" w:lineRule="auto"/>
        <w:rPr>
          <w:rFonts w:ascii="Arial" w:hAnsi="Arial"/>
          <w:color w:val="4F81BD" w:themeColor="accent1"/>
        </w:rPr>
      </w:pPr>
      <w:r w:rsidRPr="00883F31">
        <w:rPr>
          <w:rFonts w:ascii="Arial" w:hAnsi="Arial"/>
          <w:color w:val="4F81BD" w:themeColor="accent1"/>
        </w:rPr>
        <w:t xml:space="preserve">a sexual offence, sexual misconduct, assault, fraud/financial abuse, ill treatment or neglect committed by a staff member on or toward a care recipient; </w:t>
      </w:r>
    </w:p>
    <w:p w14:paraId="5A150832" w14:textId="77777777" w:rsidR="007E234A" w:rsidRPr="00883F31" w:rsidRDefault="007E234A" w:rsidP="007E234A">
      <w:pPr>
        <w:pStyle w:val="ListParagraph"/>
        <w:numPr>
          <w:ilvl w:val="0"/>
          <w:numId w:val="13"/>
        </w:numPr>
        <w:spacing w:after="0" w:line="240" w:lineRule="auto"/>
        <w:rPr>
          <w:rFonts w:ascii="Arial" w:hAnsi="Arial"/>
          <w:color w:val="4F81BD" w:themeColor="accent1"/>
        </w:rPr>
      </w:pPr>
      <w:r w:rsidRPr="00883F31">
        <w:rPr>
          <w:rFonts w:ascii="Arial" w:hAnsi="Arial"/>
          <w:color w:val="4F81BD" w:themeColor="accent1"/>
        </w:rPr>
        <w:t xml:space="preserve">a sexual offence, an incident causing serious injury, an incident involving the use of a weapon, or an incident that is part of a pattern of abuse when committed by a care recipient toward another care recipient; or </w:t>
      </w:r>
    </w:p>
    <w:p w14:paraId="73E85821" w14:textId="77777777" w:rsidR="007E234A" w:rsidRPr="00883F31" w:rsidRDefault="007E234A" w:rsidP="007E234A">
      <w:pPr>
        <w:pStyle w:val="ListParagraph"/>
        <w:numPr>
          <w:ilvl w:val="0"/>
          <w:numId w:val="13"/>
        </w:numPr>
        <w:spacing w:after="0" w:line="240" w:lineRule="auto"/>
        <w:rPr>
          <w:rFonts w:ascii="Arial" w:hAnsi="Arial"/>
          <w:color w:val="4F81BD" w:themeColor="accent1"/>
        </w:rPr>
      </w:pPr>
      <w:r w:rsidRPr="00883F31">
        <w:rPr>
          <w:rFonts w:ascii="Arial" w:hAnsi="Arial"/>
          <w:color w:val="4F81BD" w:themeColor="accent1"/>
        </w:rPr>
        <w:t xml:space="preserve">an incident resulting in an unexplained serious injury to a care recipient. With respect to home care or flexible care, ‘reportable incident’ should mean a sexual offence, sexual misconduct, assault, fraud/financial abuse, ill-treatment or neglect committed by a staff member on or toward a care recipient. </w:t>
      </w:r>
    </w:p>
    <w:p w14:paraId="3389CE65" w14:textId="77777777" w:rsidR="007E234A" w:rsidRPr="00883F31" w:rsidRDefault="007E234A" w:rsidP="007E234A">
      <w:pPr>
        <w:spacing w:after="0" w:line="240" w:lineRule="auto"/>
        <w:rPr>
          <w:rFonts w:ascii="Arial" w:hAnsi="Arial"/>
          <w:color w:val="4F81BD" w:themeColor="accent1"/>
        </w:rPr>
      </w:pPr>
    </w:p>
    <w:p w14:paraId="48BFBB74" w14:textId="77777777" w:rsidR="007E234A" w:rsidRPr="00883F31" w:rsidRDefault="007E234A" w:rsidP="007E234A">
      <w:pPr>
        <w:spacing w:after="0" w:line="240" w:lineRule="auto"/>
        <w:rPr>
          <w:rFonts w:ascii="Arial" w:hAnsi="Arial"/>
          <w:color w:val="4F81BD" w:themeColor="accent1"/>
        </w:rPr>
      </w:pPr>
      <w:r w:rsidRPr="00883F31">
        <w:rPr>
          <w:rFonts w:ascii="Arial" w:hAnsi="Arial"/>
          <w:color w:val="4F81BD" w:themeColor="accent1"/>
        </w:rPr>
        <w:t xml:space="preserve">Proposal 11-3: The exemption to reporting provided by s 53 of the </w:t>
      </w:r>
      <w:r w:rsidRPr="00883F31">
        <w:rPr>
          <w:rFonts w:ascii="Arial" w:hAnsi="Arial"/>
          <w:i/>
          <w:color w:val="4F81BD" w:themeColor="accent1"/>
        </w:rPr>
        <w:t>Accountability Principles 2014 (Cth)</w:t>
      </w:r>
      <w:r w:rsidRPr="00883F31">
        <w:rPr>
          <w:rFonts w:ascii="Arial" w:hAnsi="Arial"/>
          <w:color w:val="4F81BD" w:themeColor="accent1"/>
        </w:rPr>
        <w:t xml:space="preserve">, regarding alleged or suspected assaults committed by a care recipient with a pre-diagnosed cognitive impairment on another care recipient, should be removed. </w:t>
      </w:r>
    </w:p>
    <w:p w14:paraId="7E8724E8" w14:textId="77777777" w:rsidR="007E234A" w:rsidRPr="00EF6250" w:rsidRDefault="007E234A" w:rsidP="007E234A">
      <w:pPr>
        <w:spacing w:after="0" w:line="240" w:lineRule="auto"/>
        <w:rPr>
          <w:rFonts w:ascii="Arial" w:hAnsi="Arial"/>
        </w:rPr>
      </w:pPr>
    </w:p>
    <w:p w14:paraId="219FDB55" w14:textId="77777777" w:rsidR="007E234A" w:rsidRDefault="00883F31" w:rsidP="007E234A">
      <w:pPr>
        <w:spacing w:after="0" w:line="240" w:lineRule="auto"/>
        <w:rPr>
          <w:rFonts w:ascii="Arial" w:hAnsi="Arial"/>
        </w:rPr>
      </w:pPr>
      <w:r>
        <w:rPr>
          <w:rFonts w:ascii="Arial" w:hAnsi="Arial"/>
        </w:rPr>
        <w:t>F</w:t>
      </w:r>
      <w:r w:rsidR="007E234A" w:rsidRPr="00EF6250">
        <w:rPr>
          <w:rFonts w:ascii="Arial" w:hAnsi="Arial"/>
        </w:rPr>
        <w:t xml:space="preserve">urther consideration and consultation </w:t>
      </w:r>
      <w:r>
        <w:rPr>
          <w:rFonts w:ascii="Arial" w:hAnsi="Arial"/>
        </w:rPr>
        <w:t>is needed about these proposals. Who are they to report to and about what?</w:t>
      </w:r>
    </w:p>
    <w:p w14:paraId="0CAE19E2" w14:textId="77777777" w:rsidR="00883F31" w:rsidRPr="00EF6250" w:rsidRDefault="00883F31" w:rsidP="007E234A">
      <w:pPr>
        <w:spacing w:after="0" w:line="240" w:lineRule="auto"/>
        <w:rPr>
          <w:rFonts w:ascii="Arial" w:hAnsi="Arial"/>
        </w:rPr>
      </w:pPr>
    </w:p>
    <w:p w14:paraId="0E23A9F4" w14:textId="77777777" w:rsidR="007E234A" w:rsidRPr="00883F31" w:rsidRDefault="007E234A" w:rsidP="007E234A">
      <w:pPr>
        <w:spacing w:after="0" w:line="240" w:lineRule="auto"/>
        <w:rPr>
          <w:rFonts w:ascii="Arial" w:hAnsi="Arial"/>
          <w:color w:val="4F81BD" w:themeColor="accent1"/>
        </w:rPr>
      </w:pPr>
      <w:r w:rsidRPr="00883F31">
        <w:rPr>
          <w:rFonts w:ascii="Arial" w:hAnsi="Arial"/>
          <w:color w:val="4F81BD" w:themeColor="accent1"/>
        </w:rPr>
        <w:t>Proposal 11-4: There should be a national employment screening process for Australian Government funded aged care. The screening process should determine whether a clearance should be granted to work in aged care, based on an assessment of:</w:t>
      </w:r>
    </w:p>
    <w:p w14:paraId="093BA79F" w14:textId="77777777" w:rsidR="007E234A" w:rsidRPr="00883F31" w:rsidRDefault="007E234A" w:rsidP="007E234A">
      <w:pPr>
        <w:spacing w:after="0" w:line="240" w:lineRule="auto"/>
        <w:rPr>
          <w:rFonts w:ascii="Arial" w:hAnsi="Arial"/>
          <w:color w:val="4F81BD" w:themeColor="accent1"/>
        </w:rPr>
      </w:pPr>
    </w:p>
    <w:p w14:paraId="509A3828" w14:textId="77777777" w:rsidR="007E234A" w:rsidRPr="00883F31" w:rsidRDefault="007E234A" w:rsidP="007E234A">
      <w:pPr>
        <w:pStyle w:val="ListParagraph"/>
        <w:numPr>
          <w:ilvl w:val="0"/>
          <w:numId w:val="14"/>
        </w:numPr>
        <w:spacing w:after="0" w:line="240" w:lineRule="auto"/>
        <w:rPr>
          <w:rFonts w:ascii="Arial" w:hAnsi="Arial"/>
          <w:color w:val="4F81BD" w:themeColor="accent1"/>
        </w:rPr>
      </w:pPr>
      <w:r w:rsidRPr="00883F31">
        <w:rPr>
          <w:rFonts w:ascii="Arial" w:hAnsi="Arial"/>
          <w:color w:val="4F81BD" w:themeColor="accent1"/>
        </w:rPr>
        <w:t>a person’s national criminal history;</w:t>
      </w:r>
    </w:p>
    <w:p w14:paraId="4769359D" w14:textId="77777777" w:rsidR="007E234A" w:rsidRPr="00883F31" w:rsidRDefault="007E234A" w:rsidP="007E234A">
      <w:pPr>
        <w:pStyle w:val="ListParagraph"/>
        <w:numPr>
          <w:ilvl w:val="0"/>
          <w:numId w:val="14"/>
        </w:numPr>
        <w:spacing w:after="0" w:line="240" w:lineRule="auto"/>
        <w:rPr>
          <w:rFonts w:ascii="Arial" w:hAnsi="Arial"/>
          <w:color w:val="4F81BD" w:themeColor="accent1"/>
        </w:rPr>
      </w:pPr>
      <w:r w:rsidRPr="00883F31">
        <w:rPr>
          <w:rFonts w:ascii="Arial" w:hAnsi="Arial"/>
          <w:color w:val="4F81BD" w:themeColor="accent1"/>
        </w:rPr>
        <w:t>relevant reportable incidents under the proposed reportable incidents scheme; and</w:t>
      </w:r>
    </w:p>
    <w:p w14:paraId="2A3AB522" w14:textId="77777777" w:rsidR="007E234A" w:rsidRPr="00883F31" w:rsidRDefault="007E234A" w:rsidP="007E234A">
      <w:pPr>
        <w:pStyle w:val="ListParagraph"/>
        <w:numPr>
          <w:ilvl w:val="0"/>
          <w:numId w:val="14"/>
        </w:numPr>
        <w:spacing w:after="0" w:line="240" w:lineRule="auto"/>
        <w:rPr>
          <w:rFonts w:ascii="Arial" w:hAnsi="Arial"/>
          <w:color w:val="4F81BD" w:themeColor="accent1"/>
        </w:rPr>
      </w:pPr>
      <w:r w:rsidRPr="00883F31">
        <w:rPr>
          <w:rFonts w:ascii="Arial" w:hAnsi="Arial"/>
          <w:color w:val="4F81BD" w:themeColor="accent1"/>
        </w:rPr>
        <w:t>relevant disciplinary proceedings or complaints.</w:t>
      </w:r>
    </w:p>
    <w:p w14:paraId="29439ED0" w14:textId="77777777" w:rsidR="007E234A" w:rsidRPr="00EF6250" w:rsidRDefault="007E234A" w:rsidP="007E234A">
      <w:pPr>
        <w:spacing w:after="0" w:line="240" w:lineRule="auto"/>
        <w:rPr>
          <w:rFonts w:ascii="Arial" w:hAnsi="Arial"/>
          <w:color w:val="C00000"/>
        </w:rPr>
      </w:pPr>
    </w:p>
    <w:p w14:paraId="223053A7" w14:textId="77777777" w:rsidR="00883F31" w:rsidRDefault="00883F31" w:rsidP="007E234A">
      <w:pPr>
        <w:spacing w:after="0" w:line="240" w:lineRule="auto"/>
        <w:rPr>
          <w:rFonts w:ascii="Arial" w:hAnsi="Arial"/>
          <w:color w:val="C00000"/>
        </w:rPr>
      </w:pPr>
    </w:p>
    <w:p w14:paraId="3305E916" w14:textId="77777777" w:rsidR="007E234A" w:rsidRPr="00883F31" w:rsidRDefault="007E234A" w:rsidP="007E234A">
      <w:pPr>
        <w:spacing w:after="0" w:line="240" w:lineRule="auto"/>
        <w:rPr>
          <w:rFonts w:ascii="Arial" w:hAnsi="Arial"/>
          <w:color w:val="4F81BD" w:themeColor="accent1"/>
        </w:rPr>
      </w:pPr>
      <w:r w:rsidRPr="00883F31">
        <w:rPr>
          <w:rFonts w:ascii="Arial" w:hAnsi="Arial"/>
          <w:color w:val="4F81BD" w:themeColor="accent1"/>
        </w:rPr>
        <w:lastRenderedPageBreak/>
        <w:t>Proposal 11-5: A national database should be established to record the outcome and status of employment clearances.</w:t>
      </w:r>
    </w:p>
    <w:p w14:paraId="04CBCC69" w14:textId="77777777" w:rsidR="007E234A" w:rsidRPr="00EF6250" w:rsidRDefault="007E234A" w:rsidP="007E234A">
      <w:pPr>
        <w:spacing w:after="0" w:line="240" w:lineRule="auto"/>
        <w:rPr>
          <w:rFonts w:ascii="Arial" w:hAnsi="Arial"/>
          <w:color w:val="C00000"/>
        </w:rPr>
      </w:pPr>
    </w:p>
    <w:p w14:paraId="196D7C56" w14:textId="77777777" w:rsidR="007E234A" w:rsidRPr="00EF6250" w:rsidRDefault="007E234A" w:rsidP="007E234A">
      <w:pPr>
        <w:spacing w:after="0" w:line="240" w:lineRule="auto"/>
        <w:rPr>
          <w:rFonts w:ascii="Arial" w:hAnsi="Arial"/>
        </w:rPr>
      </w:pPr>
      <w:r w:rsidRPr="00EF6250">
        <w:rPr>
          <w:rFonts w:ascii="Arial" w:hAnsi="Arial"/>
        </w:rPr>
        <w:t xml:space="preserve">The ALRC has noted that both the </w:t>
      </w:r>
      <w:r w:rsidRPr="00EF6250">
        <w:rPr>
          <w:rFonts w:ascii="Arial" w:hAnsi="Arial"/>
          <w:i/>
        </w:rPr>
        <w:t>Aged Care Legislated Review</w:t>
      </w:r>
      <w:r w:rsidRPr="00EF6250">
        <w:rPr>
          <w:rFonts w:ascii="Arial" w:hAnsi="Arial"/>
        </w:rPr>
        <w:t xml:space="preserve"> and the Senate </w:t>
      </w:r>
      <w:r w:rsidRPr="00EF6250">
        <w:rPr>
          <w:rFonts w:ascii="Arial" w:hAnsi="Arial"/>
          <w:i/>
        </w:rPr>
        <w:t>Inquiry into the Future of Australia’s Aged Care Sector Workforce</w:t>
      </w:r>
      <w:r w:rsidRPr="00EF6250">
        <w:rPr>
          <w:rFonts w:ascii="Arial" w:hAnsi="Arial"/>
        </w:rPr>
        <w:t xml:space="preserve"> will </w:t>
      </w:r>
      <w:r w:rsidR="00883F31">
        <w:rPr>
          <w:rFonts w:ascii="Arial" w:hAnsi="Arial"/>
        </w:rPr>
        <w:t>consider</w:t>
      </w:r>
      <w:r w:rsidRPr="00EF6250">
        <w:rPr>
          <w:rFonts w:ascii="Arial" w:hAnsi="Arial"/>
        </w:rPr>
        <w:t xml:space="preserve"> workforce strategies </w:t>
      </w:r>
      <w:r w:rsidR="00883F31">
        <w:rPr>
          <w:rFonts w:ascii="Arial" w:hAnsi="Arial"/>
        </w:rPr>
        <w:t>and that this proposal should be viewed at the same time.</w:t>
      </w:r>
    </w:p>
    <w:p w14:paraId="1847BED2" w14:textId="77777777" w:rsidR="007E234A" w:rsidRPr="00EF6250" w:rsidRDefault="007E234A" w:rsidP="007E234A">
      <w:pPr>
        <w:spacing w:after="0" w:line="240" w:lineRule="auto"/>
        <w:rPr>
          <w:rFonts w:ascii="Arial" w:hAnsi="Arial"/>
        </w:rPr>
      </w:pPr>
    </w:p>
    <w:p w14:paraId="13702E05" w14:textId="77777777" w:rsidR="007E234A" w:rsidRPr="00883F31" w:rsidRDefault="007E234A" w:rsidP="007E234A">
      <w:pPr>
        <w:spacing w:after="0" w:line="240" w:lineRule="auto"/>
        <w:rPr>
          <w:rFonts w:ascii="Arial" w:hAnsi="Arial"/>
          <w:color w:val="4F81BD" w:themeColor="accent1"/>
        </w:rPr>
      </w:pPr>
      <w:r w:rsidRPr="00883F31">
        <w:rPr>
          <w:rFonts w:ascii="Arial" w:hAnsi="Arial"/>
          <w:color w:val="4F81BD" w:themeColor="accent1"/>
        </w:rPr>
        <w:t xml:space="preserve">Proposal 11-7: The </w:t>
      </w:r>
      <w:r w:rsidRPr="00883F31">
        <w:rPr>
          <w:rFonts w:ascii="Arial" w:hAnsi="Arial"/>
          <w:i/>
          <w:color w:val="4F81BD" w:themeColor="accent1"/>
        </w:rPr>
        <w:t>Aged Care Act 1997 (Cth)</w:t>
      </w:r>
      <w:r w:rsidRPr="00883F31">
        <w:rPr>
          <w:rFonts w:ascii="Arial" w:hAnsi="Arial"/>
          <w:color w:val="4F81BD" w:themeColor="accent1"/>
        </w:rPr>
        <w:t xml:space="preserve"> should regulate the use of restrictive practices in residential aged care. The Act should provide that restrictive practices only be used:</w:t>
      </w:r>
    </w:p>
    <w:p w14:paraId="51A24457" w14:textId="77777777" w:rsidR="007E234A" w:rsidRPr="00883F31" w:rsidRDefault="007E234A" w:rsidP="007E234A">
      <w:pPr>
        <w:spacing w:after="0" w:line="240" w:lineRule="auto"/>
        <w:rPr>
          <w:rFonts w:ascii="Arial" w:hAnsi="Arial"/>
          <w:color w:val="4F81BD" w:themeColor="accent1"/>
        </w:rPr>
      </w:pPr>
    </w:p>
    <w:p w14:paraId="5924A53B" w14:textId="77777777" w:rsidR="007E234A" w:rsidRPr="00883F31" w:rsidRDefault="007E234A" w:rsidP="007E234A">
      <w:pPr>
        <w:pStyle w:val="ListParagraph"/>
        <w:numPr>
          <w:ilvl w:val="0"/>
          <w:numId w:val="15"/>
        </w:numPr>
        <w:spacing w:after="0" w:line="240" w:lineRule="auto"/>
        <w:rPr>
          <w:rFonts w:ascii="Arial" w:hAnsi="Arial"/>
          <w:color w:val="4F81BD" w:themeColor="accent1"/>
        </w:rPr>
      </w:pPr>
      <w:r w:rsidRPr="00883F31">
        <w:rPr>
          <w:rFonts w:ascii="Arial" w:hAnsi="Arial"/>
          <w:color w:val="4F81BD" w:themeColor="accent1"/>
        </w:rPr>
        <w:t>when necessary to prevent physical harm;</w:t>
      </w:r>
    </w:p>
    <w:p w14:paraId="6DE3AA4A" w14:textId="77777777" w:rsidR="007E234A" w:rsidRPr="00883F31" w:rsidRDefault="007E234A" w:rsidP="007E234A">
      <w:pPr>
        <w:pStyle w:val="ListParagraph"/>
        <w:numPr>
          <w:ilvl w:val="0"/>
          <w:numId w:val="15"/>
        </w:numPr>
        <w:spacing w:after="0" w:line="240" w:lineRule="auto"/>
        <w:rPr>
          <w:rFonts w:ascii="Arial" w:hAnsi="Arial"/>
          <w:color w:val="4F81BD" w:themeColor="accent1"/>
        </w:rPr>
      </w:pPr>
      <w:r w:rsidRPr="00883F31">
        <w:rPr>
          <w:rFonts w:ascii="Arial" w:hAnsi="Arial"/>
          <w:color w:val="4F81BD" w:themeColor="accent1"/>
        </w:rPr>
        <w:t>to the extent necessary to prevent the harm;</w:t>
      </w:r>
    </w:p>
    <w:p w14:paraId="5208BB43" w14:textId="77777777" w:rsidR="007E234A" w:rsidRPr="00883F31" w:rsidRDefault="007E234A" w:rsidP="007E234A">
      <w:pPr>
        <w:pStyle w:val="ListParagraph"/>
        <w:numPr>
          <w:ilvl w:val="0"/>
          <w:numId w:val="15"/>
        </w:numPr>
        <w:spacing w:after="0" w:line="240" w:lineRule="auto"/>
        <w:rPr>
          <w:rFonts w:ascii="Arial" w:hAnsi="Arial"/>
          <w:color w:val="4F81BD" w:themeColor="accent1"/>
        </w:rPr>
      </w:pPr>
      <w:r w:rsidRPr="00883F31">
        <w:rPr>
          <w:rFonts w:ascii="Arial" w:hAnsi="Arial"/>
          <w:color w:val="4F81BD" w:themeColor="accent1"/>
        </w:rPr>
        <w:t>with the approval of an independent decision maker, such as a senior clinician, with statutory authority to make this decision; and</w:t>
      </w:r>
    </w:p>
    <w:p w14:paraId="3404E636" w14:textId="77777777" w:rsidR="007E234A" w:rsidRPr="00883F31" w:rsidRDefault="007E234A" w:rsidP="007E234A">
      <w:pPr>
        <w:pStyle w:val="ListParagraph"/>
        <w:numPr>
          <w:ilvl w:val="0"/>
          <w:numId w:val="15"/>
        </w:numPr>
        <w:spacing w:after="0" w:line="240" w:lineRule="auto"/>
        <w:rPr>
          <w:rFonts w:ascii="Arial" w:hAnsi="Arial"/>
          <w:color w:val="4F81BD" w:themeColor="accent1"/>
        </w:rPr>
      </w:pPr>
      <w:r w:rsidRPr="00883F31">
        <w:rPr>
          <w:rFonts w:ascii="Arial" w:hAnsi="Arial"/>
          <w:color w:val="4F81BD" w:themeColor="accent1"/>
        </w:rPr>
        <w:t>as prescribed in a person’s behaviour management plan.</w:t>
      </w:r>
    </w:p>
    <w:p w14:paraId="3B007C89" w14:textId="77777777" w:rsidR="007E234A" w:rsidRPr="00EF6250" w:rsidRDefault="007E234A" w:rsidP="007E234A">
      <w:pPr>
        <w:spacing w:after="0" w:line="240" w:lineRule="auto"/>
        <w:rPr>
          <w:rFonts w:ascii="Arial" w:hAnsi="Arial"/>
          <w:color w:val="C00000"/>
        </w:rPr>
      </w:pPr>
    </w:p>
    <w:p w14:paraId="1CB66239" w14:textId="77777777" w:rsidR="007E234A" w:rsidRPr="00EF6250" w:rsidRDefault="00883F31" w:rsidP="007E234A">
      <w:pPr>
        <w:spacing w:after="0" w:line="240" w:lineRule="auto"/>
        <w:rPr>
          <w:rFonts w:ascii="Arial" w:hAnsi="Arial"/>
        </w:rPr>
      </w:pPr>
      <w:r>
        <w:rPr>
          <w:rFonts w:ascii="Arial" w:hAnsi="Arial"/>
        </w:rPr>
        <w:t>Further</w:t>
      </w:r>
      <w:r w:rsidR="007E234A" w:rsidRPr="00EF6250">
        <w:rPr>
          <w:rFonts w:ascii="Arial" w:hAnsi="Arial"/>
        </w:rPr>
        <w:t xml:space="preserve"> considera</w:t>
      </w:r>
      <w:r>
        <w:rPr>
          <w:rFonts w:ascii="Arial" w:hAnsi="Arial"/>
        </w:rPr>
        <w:t>tion and consultation is needed.</w:t>
      </w:r>
    </w:p>
    <w:p w14:paraId="1BE2DF01" w14:textId="77777777" w:rsidR="007E234A" w:rsidRPr="00EF6250" w:rsidRDefault="007E234A" w:rsidP="007E234A">
      <w:pPr>
        <w:spacing w:after="0" w:line="240" w:lineRule="auto"/>
        <w:rPr>
          <w:rFonts w:ascii="Arial" w:hAnsi="Arial"/>
        </w:rPr>
      </w:pPr>
    </w:p>
    <w:p w14:paraId="6991E8FA" w14:textId="77777777" w:rsidR="007E234A" w:rsidRPr="00883F31" w:rsidRDefault="007E234A" w:rsidP="007E234A">
      <w:pPr>
        <w:spacing w:after="0" w:line="240" w:lineRule="auto"/>
        <w:rPr>
          <w:rFonts w:ascii="Arial" w:hAnsi="Arial"/>
          <w:color w:val="4F81BD" w:themeColor="accent1"/>
        </w:rPr>
      </w:pPr>
      <w:r w:rsidRPr="00883F31">
        <w:rPr>
          <w:rFonts w:ascii="Arial" w:hAnsi="Arial"/>
          <w:color w:val="4F81BD" w:themeColor="accent1"/>
        </w:rPr>
        <w:t xml:space="preserve">Proposal 11-8: Aged care legislation should provide that agreements entered into between an approved provider and a care recipient cannot require that the care recipient has appointed a decision maker for lifestyle, personal or financial matters. </w:t>
      </w:r>
    </w:p>
    <w:p w14:paraId="1DA3A0D4" w14:textId="77777777" w:rsidR="007E234A" w:rsidRPr="00EF6250" w:rsidRDefault="007E234A" w:rsidP="007E234A">
      <w:pPr>
        <w:spacing w:after="0" w:line="240" w:lineRule="auto"/>
        <w:rPr>
          <w:rFonts w:ascii="Arial" w:hAnsi="Arial"/>
          <w:color w:val="C00000"/>
        </w:rPr>
      </w:pPr>
    </w:p>
    <w:p w14:paraId="295DAEF9" w14:textId="77777777" w:rsidR="00883F31" w:rsidRPr="00EF6250" w:rsidRDefault="00883F31" w:rsidP="00883F31">
      <w:pPr>
        <w:spacing w:after="0" w:line="240" w:lineRule="auto"/>
        <w:rPr>
          <w:rFonts w:ascii="Arial" w:hAnsi="Arial"/>
        </w:rPr>
      </w:pPr>
      <w:r>
        <w:rPr>
          <w:rFonts w:ascii="Arial" w:hAnsi="Arial"/>
        </w:rPr>
        <w:t>Further</w:t>
      </w:r>
      <w:r w:rsidRPr="00EF6250">
        <w:rPr>
          <w:rFonts w:ascii="Arial" w:hAnsi="Arial"/>
        </w:rPr>
        <w:t xml:space="preserve"> considera</w:t>
      </w:r>
      <w:r>
        <w:rPr>
          <w:rFonts w:ascii="Arial" w:hAnsi="Arial"/>
        </w:rPr>
        <w:t>tion and consultation is needed.</w:t>
      </w:r>
    </w:p>
    <w:p w14:paraId="0A0E44A7" w14:textId="77777777" w:rsidR="007E234A" w:rsidRPr="00EF6250" w:rsidRDefault="007E234A" w:rsidP="007E234A">
      <w:pPr>
        <w:spacing w:after="0" w:line="240" w:lineRule="auto"/>
        <w:rPr>
          <w:rFonts w:ascii="Arial" w:hAnsi="Arial"/>
          <w:color w:val="C00000"/>
        </w:rPr>
      </w:pPr>
    </w:p>
    <w:p w14:paraId="606C6500" w14:textId="77777777" w:rsidR="00EF6250" w:rsidRPr="00EF6250" w:rsidRDefault="00EF6250">
      <w:pPr>
        <w:rPr>
          <w:rFonts w:ascii="Arial" w:hAnsi="Arial"/>
        </w:rPr>
      </w:pPr>
    </w:p>
    <w:sectPr w:rsidR="00EF6250" w:rsidRPr="00EF6250" w:rsidSect="00EF6250">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113E5" w14:textId="77777777" w:rsidR="00BD65ED" w:rsidRDefault="00BD65ED" w:rsidP="00EF6250">
      <w:pPr>
        <w:spacing w:after="0" w:line="240" w:lineRule="auto"/>
      </w:pPr>
      <w:r>
        <w:separator/>
      </w:r>
    </w:p>
  </w:endnote>
  <w:endnote w:type="continuationSeparator" w:id="0">
    <w:p w14:paraId="7491C8D0" w14:textId="77777777" w:rsidR="00BD65ED" w:rsidRDefault="00BD65ED" w:rsidP="00EF6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New York">
    <w:panose1 w:val="02040503060506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BC30A" w14:textId="77777777" w:rsidR="00BD65ED" w:rsidRDefault="00BD65ED" w:rsidP="00EF6250">
      <w:pPr>
        <w:spacing w:after="0" w:line="240" w:lineRule="auto"/>
      </w:pPr>
      <w:r>
        <w:separator/>
      </w:r>
    </w:p>
  </w:footnote>
  <w:footnote w:type="continuationSeparator" w:id="0">
    <w:p w14:paraId="385B795B" w14:textId="77777777" w:rsidR="00BD65ED" w:rsidRDefault="00BD65ED" w:rsidP="00EF62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E2A31"/>
    <w:multiLevelType w:val="hybridMultilevel"/>
    <w:tmpl w:val="A1D4E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450C8E"/>
    <w:multiLevelType w:val="hybridMultilevel"/>
    <w:tmpl w:val="9A0A059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FCB1402"/>
    <w:multiLevelType w:val="hybridMultilevel"/>
    <w:tmpl w:val="865011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AC1045"/>
    <w:multiLevelType w:val="hybridMultilevel"/>
    <w:tmpl w:val="C2A82F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AF587A"/>
    <w:multiLevelType w:val="hybridMultilevel"/>
    <w:tmpl w:val="15887D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1B2DA9"/>
    <w:multiLevelType w:val="hybridMultilevel"/>
    <w:tmpl w:val="EED039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EA4F6C"/>
    <w:multiLevelType w:val="hybridMultilevel"/>
    <w:tmpl w:val="3FDE7F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682161"/>
    <w:multiLevelType w:val="hybridMultilevel"/>
    <w:tmpl w:val="5AB2CD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26638E"/>
    <w:multiLevelType w:val="hybridMultilevel"/>
    <w:tmpl w:val="15780C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4A6852"/>
    <w:multiLevelType w:val="hybridMultilevel"/>
    <w:tmpl w:val="B21A2B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EB027E"/>
    <w:multiLevelType w:val="hybridMultilevel"/>
    <w:tmpl w:val="880CC4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CAF0A16"/>
    <w:multiLevelType w:val="hybridMultilevel"/>
    <w:tmpl w:val="30244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364E2C"/>
    <w:multiLevelType w:val="hybridMultilevel"/>
    <w:tmpl w:val="7BA63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E60652"/>
    <w:multiLevelType w:val="hybridMultilevel"/>
    <w:tmpl w:val="6874C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9707CC"/>
    <w:multiLevelType w:val="hybridMultilevel"/>
    <w:tmpl w:val="9DECF6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275C90"/>
    <w:multiLevelType w:val="hybridMultilevel"/>
    <w:tmpl w:val="72D0383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B5D1689"/>
    <w:multiLevelType w:val="hybridMultilevel"/>
    <w:tmpl w:val="7DBABD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6A5C7B"/>
    <w:multiLevelType w:val="hybridMultilevel"/>
    <w:tmpl w:val="3FCE105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B3359F"/>
    <w:multiLevelType w:val="hybridMultilevel"/>
    <w:tmpl w:val="AFA264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
  </w:num>
  <w:num w:numId="3">
    <w:abstractNumId w:val="11"/>
  </w:num>
  <w:num w:numId="4">
    <w:abstractNumId w:val="14"/>
  </w:num>
  <w:num w:numId="5">
    <w:abstractNumId w:val="15"/>
  </w:num>
  <w:num w:numId="6">
    <w:abstractNumId w:val="16"/>
  </w:num>
  <w:num w:numId="7">
    <w:abstractNumId w:val="2"/>
  </w:num>
  <w:num w:numId="8">
    <w:abstractNumId w:val="8"/>
  </w:num>
  <w:num w:numId="9">
    <w:abstractNumId w:val="13"/>
  </w:num>
  <w:num w:numId="10">
    <w:abstractNumId w:val="3"/>
  </w:num>
  <w:num w:numId="11">
    <w:abstractNumId w:val="7"/>
  </w:num>
  <w:num w:numId="12">
    <w:abstractNumId w:val="0"/>
  </w:num>
  <w:num w:numId="13">
    <w:abstractNumId w:val="18"/>
  </w:num>
  <w:num w:numId="14">
    <w:abstractNumId w:val="5"/>
  </w:num>
  <w:num w:numId="15">
    <w:abstractNumId w:val="10"/>
  </w:num>
  <w:num w:numId="16">
    <w:abstractNumId w:val="12"/>
  </w:num>
  <w:num w:numId="17">
    <w:abstractNumId w:val="6"/>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34A"/>
    <w:rsid w:val="007E234A"/>
    <w:rsid w:val="00883F31"/>
    <w:rsid w:val="00AF2013"/>
    <w:rsid w:val="00BD65ED"/>
    <w:rsid w:val="00EF6250"/>
    <w:rsid w:val="00FB7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AF9B0BA"/>
  <w14:defaultImageDpi w14:val="300"/>
  <w15:docId w15:val="{829F781B-0681-4FE6-8F08-CC3B52AA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34A"/>
    <w:pPr>
      <w:spacing w:after="200" w:line="276" w:lineRule="auto"/>
    </w:pPr>
    <w:rPr>
      <w:rFonts w:asciiTheme="minorHAnsi" w:eastAsiaTheme="minorHAnsi" w:hAnsiTheme="minorHAnsi" w:cstheme="minorBidi"/>
      <w:sz w:val="22"/>
      <w:szCs w:val="22"/>
      <w:lang w:val="en-AU" w:eastAsia="en-US"/>
    </w:rPr>
  </w:style>
  <w:style w:type="paragraph" w:styleId="Heading1">
    <w:name w:val="heading 1"/>
    <w:basedOn w:val="Normal"/>
    <w:next w:val="Normal"/>
    <w:link w:val="Heading1Char"/>
    <w:uiPriority w:val="9"/>
    <w:qFormat/>
    <w:rsid w:val="007C5566"/>
    <w:pPr>
      <w:keepNext/>
      <w:spacing w:before="240" w:after="60"/>
      <w:outlineLvl w:val="0"/>
    </w:pPr>
    <w:rPr>
      <w:rFonts w:ascii="Arial" w:hAnsi="Arial"/>
      <w:b/>
      <w:kern w:val="32"/>
      <w:sz w:val="32"/>
      <w:szCs w:val="32"/>
    </w:rPr>
  </w:style>
  <w:style w:type="paragraph" w:styleId="Heading2">
    <w:name w:val="heading 2"/>
    <w:basedOn w:val="Normal"/>
    <w:next w:val="Normal"/>
    <w:link w:val="Heading2Char"/>
    <w:uiPriority w:val="9"/>
    <w:unhideWhenUsed/>
    <w:qFormat/>
    <w:rsid w:val="007E234A"/>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2013"/>
    <w:rPr>
      <w:rFonts w:ascii="Lucida Grande" w:hAnsi="Lucida Grande"/>
      <w:sz w:val="18"/>
      <w:szCs w:val="18"/>
    </w:rPr>
  </w:style>
  <w:style w:type="paragraph" w:customStyle="1" w:styleId="Header1">
    <w:name w:val="Header1"/>
    <w:basedOn w:val="Normal"/>
    <w:rsid w:val="00BA455B"/>
    <w:pPr>
      <w:tabs>
        <w:tab w:val="center" w:pos="4320"/>
        <w:tab w:val="right" w:pos="8640"/>
      </w:tabs>
    </w:pPr>
    <w:rPr>
      <w:rFonts w:ascii="New York" w:hAnsi="New York"/>
      <w:lang w:val="en-US"/>
    </w:rPr>
  </w:style>
  <w:style w:type="paragraph" w:styleId="TOC1">
    <w:name w:val="toc 1"/>
    <w:basedOn w:val="Normal"/>
    <w:next w:val="Normal"/>
    <w:autoRedefine/>
    <w:semiHidden/>
    <w:rsid w:val="00BA455B"/>
    <w:pPr>
      <w:spacing w:before="200"/>
    </w:pPr>
    <w:rPr>
      <w:rFonts w:ascii="Trebuchet MS" w:hAnsi="Trebuchet MS"/>
      <w:lang w:val="en-US" w:bidi="en-US"/>
    </w:rPr>
  </w:style>
  <w:style w:type="character" w:customStyle="1" w:styleId="Heading2Char">
    <w:name w:val="Heading 2 Char"/>
    <w:basedOn w:val="DefaultParagraphFont"/>
    <w:link w:val="Heading2"/>
    <w:uiPriority w:val="9"/>
    <w:rsid w:val="007E234A"/>
    <w:rPr>
      <w:rFonts w:asciiTheme="minorHAnsi" w:eastAsiaTheme="majorEastAsia" w:hAnsiTheme="minorHAnsi" w:cstheme="majorBidi"/>
      <w:b/>
      <w:bCs/>
      <w:color w:val="4F81BD" w:themeColor="accent1"/>
      <w:sz w:val="26"/>
      <w:szCs w:val="26"/>
      <w:lang w:val="en-AU" w:eastAsia="en-US"/>
    </w:rPr>
  </w:style>
  <w:style w:type="paragraph" w:styleId="ListParagraph">
    <w:name w:val="List Paragraph"/>
    <w:basedOn w:val="Normal"/>
    <w:uiPriority w:val="34"/>
    <w:qFormat/>
    <w:rsid w:val="007E234A"/>
    <w:pPr>
      <w:ind w:left="720"/>
      <w:contextualSpacing/>
    </w:pPr>
  </w:style>
  <w:style w:type="character" w:customStyle="1" w:styleId="Heading1Char">
    <w:name w:val="Heading 1 Char"/>
    <w:basedOn w:val="DefaultParagraphFont"/>
    <w:link w:val="Heading1"/>
    <w:uiPriority w:val="9"/>
    <w:rsid w:val="007E234A"/>
    <w:rPr>
      <w:rFonts w:ascii="Arial" w:hAnsi="Arial"/>
      <w:b/>
      <w:kern w:val="32"/>
      <w:sz w:val="32"/>
      <w:szCs w:val="32"/>
      <w:lang w:val="en-GB" w:eastAsia="en-US"/>
    </w:rPr>
  </w:style>
  <w:style w:type="paragraph" w:styleId="Header">
    <w:name w:val="header"/>
    <w:basedOn w:val="Normal"/>
    <w:link w:val="HeaderChar"/>
    <w:uiPriority w:val="99"/>
    <w:unhideWhenUsed/>
    <w:rsid w:val="007E2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34A"/>
    <w:rPr>
      <w:rFonts w:asciiTheme="minorHAnsi" w:eastAsiaTheme="minorHAnsi" w:hAnsiTheme="minorHAnsi" w:cstheme="minorBidi"/>
      <w:sz w:val="22"/>
      <w:szCs w:val="22"/>
      <w:lang w:val="en-AU" w:eastAsia="en-US"/>
    </w:rPr>
  </w:style>
  <w:style w:type="paragraph" w:styleId="Footer">
    <w:name w:val="footer"/>
    <w:basedOn w:val="Normal"/>
    <w:link w:val="FooterChar"/>
    <w:uiPriority w:val="99"/>
    <w:unhideWhenUsed/>
    <w:rsid w:val="007E2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34A"/>
    <w:rPr>
      <w:rFonts w:asciiTheme="minorHAnsi" w:eastAsiaTheme="minorHAnsi" w:hAnsiTheme="minorHAnsi" w:cstheme="minorBidi"/>
      <w:sz w:val="22"/>
      <w:szCs w:val="22"/>
      <w:lang w:val="en-AU" w:eastAsia="en-US"/>
    </w:rPr>
  </w:style>
  <w:style w:type="character" w:styleId="Hyperlink">
    <w:name w:val="Hyperlink"/>
    <w:basedOn w:val="DefaultParagraphFont"/>
    <w:uiPriority w:val="99"/>
    <w:unhideWhenUsed/>
    <w:rsid w:val="007E234A"/>
    <w:rPr>
      <w:color w:val="0000FF" w:themeColor="hyperlink"/>
      <w:u w:val="single"/>
    </w:rPr>
  </w:style>
  <w:style w:type="paragraph" w:styleId="NormalWeb">
    <w:name w:val="Normal (Web)"/>
    <w:basedOn w:val="Normal"/>
    <w:uiPriority w:val="99"/>
    <w:semiHidden/>
    <w:unhideWhenUsed/>
    <w:rsid w:val="00EF6250"/>
    <w:pPr>
      <w:spacing w:before="100" w:beforeAutospacing="1" w:after="100" w:afterAutospacing="1" w:line="240" w:lineRule="auto"/>
    </w:pPr>
    <w:rPr>
      <w:rFonts w:ascii="Times" w:eastAsiaTheme="minorEastAsia" w:hAnsi="Times" w:cs="Times New Roman"/>
      <w:sz w:val="20"/>
      <w:szCs w:val="20"/>
    </w:rPr>
  </w:style>
  <w:style w:type="character" w:styleId="Strong">
    <w:name w:val="Strong"/>
    <w:basedOn w:val="DefaultParagraphFont"/>
    <w:uiPriority w:val="22"/>
    <w:qFormat/>
    <w:rsid w:val="00EF62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beral.org.au/coalitions-policy-protect-rights-older-australi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Underwood and John Myers MediaWise Pty Ltd</dc:creator>
  <cp:keywords/>
  <dc:description/>
  <cp:lastModifiedBy>Phillip Wohlers</cp:lastModifiedBy>
  <cp:revision>2</cp:revision>
  <cp:lastPrinted>2017-03-02T20:55:00Z</cp:lastPrinted>
  <dcterms:created xsi:type="dcterms:W3CDTF">2017-03-02T21:28:00Z</dcterms:created>
  <dcterms:modified xsi:type="dcterms:W3CDTF">2017-03-02T21:28:00Z</dcterms:modified>
</cp:coreProperties>
</file>