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3FA2D" w14:textId="77777777" w:rsidR="00502288" w:rsidRPr="006F0D2E" w:rsidRDefault="00502288" w:rsidP="00502288">
      <w:pPr>
        <w:rPr>
          <w:rFonts w:ascii="Arial" w:hAnsi="Arial" w:cs="Arial"/>
          <w:b/>
          <w:sz w:val="22"/>
          <w:szCs w:val="22"/>
          <w:lang w:val="en-AU"/>
        </w:rPr>
      </w:pPr>
      <w:r w:rsidRPr="006F0D2E">
        <w:rPr>
          <w:rFonts w:ascii="Arial" w:hAnsi="Arial" w:cs="Arial"/>
          <w:b/>
          <w:noProof/>
          <w:sz w:val="22"/>
          <w:szCs w:val="22"/>
        </w:rPr>
        <w:drawing>
          <wp:inline distT="0" distB="0" distL="0" distR="0" wp14:anchorId="29282C2B" wp14:editId="0533278B">
            <wp:extent cx="5727700" cy="1206500"/>
            <wp:effectExtent l="0" t="0" r="12700" b="12700"/>
            <wp:docPr id="1" name="Picture 1" descr="/Users/mediawis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diawise/Desktop/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1206500"/>
                    </a:xfrm>
                    <a:prstGeom prst="rect">
                      <a:avLst/>
                    </a:prstGeom>
                    <a:noFill/>
                    <a:ln>
                      <a:noFill/>
                    </a:ln>
                  </pic:spPr>
                </pic:pic>
              </a:graphicData>
            </a:graphic>
          </wp:inline>
        </w:drawing>
      </w:r>
    </w:p>
    <w:p w14:paraId="0D018188" w14:textId="77777777" w:rsidR="00502288" w:rsidRPr="006F0D2E" w:rsidRDefault="00502288" w:rsidP="00502288">
      <w:pPr>
        <w:rPr>
          <w:rFonts w:ascii="Arial" w:hAnsi="Arial" w:cs="Arial"/>
          <w:b/>
          <w:sz w:val="22"/>
          <w:szCs w:val="22"/>
          <w:lang w:val="en-AU"/>
        </w:rPr>
      </w:pPr>
    </w:p>
    <w:p w14:paraId="0DD2ECDD" w14:textId="77777777" w:rsidR="00502288" w:rsidRPr="006F0D2E" w:rsidRDefault="00502288" w:rsidP="00502288">
      <w:pPr>
        <w:rPr>
          <w:rFonts w:ascii="Arial" w:hAnsi="Arial" w:cs="Arial"/>
          <w:b/>
          <w:sz w:val="22"/>
          <w:szCs w:val="22"/>
          <w:lang w:val="en-AU"/>
        </w:rPr>
      </w:pPr>
    </w:p>
    <w:p w14:paraId="6FD5A570" w14:textId="77777777" w:rsidR="00502288" w:rsidRPr="006F0D2E" w:rsidRDefault="00502288" w:rsidP="00502288">
      <w:pPr>
        <w:rPr>
          <w:rFonts w:ascii="Arial" w:hAnsi="Arial" w:cs="Arial"/>
          <w:b/>
          <w:sz w:val="22"/>
          <w:szCs w:val="22"/>
          <w:lang w:val="en-AU"/>
        </w:rPr>
      </w:pPr>
      <w:r w:rsidRPr="006F0D2E">
        <w:rPr>
          <w:rFonts w:ascii="Arial" w:hAnsi="Arial" w:cs="Arial"/>
          <w:b/>
          <w:sz w:val="22"/>
          <w:szCs w:val="22"/>
          <w:lang w:val="en-AU"/>
        </w:rPr>
        <w:t xml:space="preserve">Submission to the Retirement Living Code of Conduct </w:t>
      </w:r>
    </w:p>
    <w:p w14:paraId="72389AA4" w14:textId="77777777" w:rsidR="00502288" w:rsidRPr="006F0D2E" w:rsidRDefault="00502288" w:rsidP="00502288">
      <w:pPr>
        <w:pStyle w:val="NormalWeb"/>
        <w:rPr>
          <w:rFonts w:ascii="Arial" w:hAnsi="Arial" w:cs="Arial"/>
          <w:b/>
          <w:sz w:val="22"/>
          <w:szCs w:val="22"/>
          <w:lang w:val="en-AU"/>
        </w:rPr>
      </w:pPr>
      <w:r w:rsidRPr="006F0D2E">
        <w:rPr>
          <w:rFonts w:ascii="Arial" w:hAnsi="Arial" w:cs="Arial"/>
          <w:b/>
          <w:sz w:val="22"/>
          <w:szCs w:val="22"/>
          <w:lang w:val="en-AU"/>
        </w:rPr>
        <w:t>Background</w:t>
      </w:r>
    </w:p>
    <w:p w14:paraId="00918795" w14:textId="77777777" w:rsidR="00502288" w:rsidRPr="006F0D2E" w:rsidRDefault="00502288" w:rsidP="00502288">
      <w:pPr>
        <w:pStyle w:val="NormalWeb"/>
        <w:rPr>
          <w:rFonts w:ascii="Arial" w:hAnsi="Arial" w:cs="Arial"/>
          <w:sz w:val="22"/>
          <w:szCs w:val="22"/>
        </w:rPr>
      </w:pPr>
      <w:r w:rsidRPr="006F0D2E">
        <w:rPr>
          <w:rFonts w:ascii="Arial" w:hAnsi="Arial" w:cs="Arial"/>
          <w:sz w:val="22"/>
          <w:szCs w:val="22"/>
        </w:rPr>
        <w:t xml:space="preserve">The Old Colonists’ Association of Victoria (OCAV) is a leading not-for-profit retirement village provider offering a continuum of care from independent living, assisted living and aged care in Victoria. Our four villages in Berwick, </w:t>
      </w:r>
      <w:proofErr w:type="spellStart"/>
      <w:r w:rsidRPr="006F0D2E">
        <w:rPr>
          <w:rFonts w:ascii="Arial" w:hAnsi="Arial" w:cs="Arial"/>
          <w:sz w:val="22"/>
          <w:szCs w:val="22"/>
        </w:rPr>
        <w:t>Euroa</w:t>
      </w:r>
      <w:proofErr w:type="spellEnd"/>
      <w:r w:rsidRPr="006F0D2E">
        <w:rPr>
          <w:rFonts w:ascii="Arial" w:hAnsi="Arial" w:cs="Arial"/>
          <w:sz w:val="22"/>
          <w:szCs w:val="22"/>
        </w:rPr>
        <w:t>, North Fitzroy and St Helena are home to 500 older Victorians in need.</w:t>
      </w:r>
    </w:p>
    <w:p w14:paraId="6A0B184C" w14:textId="77777777" w:rsidR="00502288" w:rsidRPr="006F0D2E" w:rsidRDefault="00502288" w:rsidP="00502288">
      <w:pPr>
        <w:pStyle w:val="NormalWeb"/>
        <w:rPr>
          <w:rFonts w:ascii="Arial" w:hAnsi="Arial" w:cs="Arial"/>
          <w:sz w:val="22"/>
          <w:szCs w:val="22"/>
        </w:rPr>
      </w:pPr>
      <w:r w:rsidRPr="006F0D2E">
        <w:rPr>
          <w:rFonts w:ascii="Arial" w:hAnsi="Arial" w:cs="Arial"/>
          <w:sz w:val="22"/>
          <w:szCs w:val="22"/>
        </w:rPr>
        <w:t>OCAV was established almost 150 years ago by a group of prominent Melburnians to ensure that older Victorians in need had somewhere secure and affordable to live, support when and if they needed it, and a community in which they felt engaged.</w:t>
      </w:r>
      <w:r w:rsidRPr="006F0D2E">
        <w:rPr>
          <w:rFonts w:ascii="Arial" w:hAnsi="Arial" w:cs="Arial"/>
          <w:sz w:val="22"/>
          <w:szCs w:val="22"/>
        </w:rPr>
        <w:br/>
        <w:t>Our mission remains unchanged. The need is greater than ever with an increase in single homeless women, a lack of affordable rental housing, limited public housing.</w:t>
      </w:r>
    </w:p>
    <w:p w14:paraId="46B00C27" w14:textId="77777777" w:rsidR="00502288" w:rsidRPr="006F0D2E" w:rsidRDefault="00502288" w:rsidP="00502288">
      <w:pPr>
        <w:pStyle w:val="NormalWeb"/>
        <w:rPr>
          <w:rFonts w:ascii="Arial" w:hAnsi="Arial" w:cs="Arial"/>
          <w:sz w:val="22"/>
          <w:szCs w:val="22"/>
        </w:rPr>
      </w:pPr>
      <w:r w:rsidRPr="006F0D2E">
        <w:rPr>
          <w:rFonts w:ascii="Arial" w:hAnsi="Arial" w:cs="Arial"/>
          <w:sz w:val="22"/>
          <w:szCs w:val="22"/>
        </w:rPr>
        <w:t>As a leading retirement village and aged care provider in Victoria, we work to provide affordable and safe housing for elderly Victorians in need, whether they live independently, or in supported or aged care living. Many of our residents have lived within OCAV villages for ten years and longer, maintaining relationships with friends and families.</w:t>
      </w:r>
    </w:p>
    <w:p w14:paraId="309015A2" w14:textId="4FFFFEBC" w:rsidR="00502288" w:rsidRPr="006F0D2E" w:rsidRDefault="00502288" w:rsidP="00502288">
      <w:pPr>
        <w:pStyle w:val="NormalWeb"/>
        <w:rPr>
          <w:rFonts w:ascii="Arial" w:hAnsi="Arial" w:cs="Arial"/>
          <w:sz w:val="22"/>
          <w:szCs w:val="22"/>
        </w:rPr>
      </w:pPr>
      <w:r w:rsidRPr="006F0D2E">
        <w:rPr>
          <w:rFonts w:ascii="Arial" w:hAnsi="Arial" w:cs="Arial"/>
          <w:sz w:val="22"/>
          <w:szCs w:val="22"/>
        </w:rPr>
        <w:t xml:space="preserve">Our funding model: </w:t>
      </w:r>
    </w:p>
    <w:p w14:paraId="231CF678" w14:textId="2BBD3047" w:rsidR="00F31BBA" w:rsidRPr="006F0D2E" w:rsidRDefault="00F31BBA" w:rsidP="00F31BBA">
      <w:pPr>
        <w:rPr>
          <w:rFonts w:ascii="Arial" w:hAnsi="Arial" w:cs="Arial"/>
          <w:sz w:val="22"/>
          <w:szCs w:val="22"/>
        </w:rPr>
      </w:pPr>
      <w:r w:rsidRPr="006F0D2E">
        <w:rPr>
          <w:rFonts w:ascii="Arial" w:hAnsi="Arial" w:cs="Arial"/>
          <w:noProof/>
          <w:sz w:val="22"/>
          <w:szCs w:val="22"/>
        </w:rPr>
        <w:drawing>
          <wp:inline distT="0" distB="0" distL="0" distR="0" wp14:anchorId="1076358C" wp14:editId="02DBDF6D">
            <wp:extent cx="5292000" cy="3612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7-16 at 1.46.22 pm.png"/>
                    <pic:cNvPicPr/>
                  </pic:nvPicPr>
                  <pic:blipFill>
                    <a:blip r:embed="rId5">
                      <a:extLst>
                        <a:ext uri="{28A0092B-C50C-407E-A947-70E740481C1C}">
                          <a14:useLocalDpi xmlns:a14="http://schemas.microsoft.com/office/drawing/2010/main" val="0"/>
                        </a:ext>
                      </a:extLst>
                    </a:blip>
                    <a:stretch>
                      <a:fillRect/>
                    </a:stretch>
                  </pic:blipFill>
                  <pic:spPr>
                    <a:xfrm>
                      <a:off x="0" y="0"/>
                      <a:ext cx="5292000" cy="3612880"/>
                    </a:xfrm>
                    <a:prstGeom prst="rect">
                      <a:avLst/>
                    </a:prstGeom>
                  </pic:spPr>
                </pic:pic>
              </a:graphicData>
            </a:graphic>
          </wp:inline>
        </w:drawing>
      </w:r>
    </w:p>
    <w:p w14:paraId="47B0E2DC" w14:textId="77777777" w:rsidR="00F31BBA" w:rsidRPr="006F0D2E" w:rsidRDefault="00F31BBA" w:rsidP="00F31BBA">
      <w:pPr>
        <w:rPr>
          <w:rFonts w:ascii="Arial" w:hAnsi="Arial" w:cs="Arial"/>
          <w:b/>
          <w:sz w:val="22"/>
          <w:szCs w:val="22"/>
        </w:rPr>
      </w:pPr>
      <w:r w:rsidRPr="006F0D2E">
        <w:rPr>
          <w:rFonts w:ascii="Arial" w:hAnsi="Arial" w:cs="Arial"/>
          <w:b/>
          <w:sz w:val="22"/>
          <w:szCs w:val="22"/>
        </w:rPr>
        <w:lastRenderedPageBreak/>
        <w:t>Our comments in general:</w:t>
      </w:r>
    </w:p>
    <w:p w14:paraId="458DB527" w14:textId="77777777" w:rsidR="00F31BBA" w:rsidRPr="006F0D2E" w:rsidRDefault="00F31BBA" w:rsidP="00F31BBA">
      <w:pPr>
        <w:rPr>
          <w:rFonts w:ascii="Arial" w:hAnsi="Arial" w:cs="Arial"/>
          <w:b/>
          <w:sz w:val="22"/>
          <w:szCs w:val="22"/>
        </w:rPr>
      </w:pPr>
    </w:p>
    <w:p w14:paraId="07B03371" w14:textId="77777777" w:rsidR="00F31BBA" w:rsidRPr="006F0D2E" w:rsidRDefault="00F31BBA" w:rsidP="00F31BBA">
      <w:pPr>
        <w:rPr>
          <w:rFonts w:ascii="Arial" w:hAnsi="Arial" w:cs="Arial"/>
          <w:sz w:val="22"/>
          <w:szCs w:val="22"/>
        </w:rPr>
      </w:pPr>
      <w:r w:rsidRPr="006F0D2E">
        <w:rPr>
          <w:rFonts w:ascii="Arial" w:hAnsi="Arial" w:cs="Arial"/>
          <w:sz w:val="22"/>
          <w:szCs w:val="22"/>
        </w:rPr>
        <w:t xml:space="preserve">We question whether a voluntary Code is ultimately enforceable. The track record of some operators would suggest not. </w:t>
      </w:r>
    </w:p>
    <w:p w14:paraId="062C7A83" w14:textId="77777777" w:rsidR="00F31BBA" w:rsidRPr="006F0D2E" w:rsidRDefault="00F31BBA" w:rsidP="00F31BBA">
      <w:pPr>
        <w:rPr>
          <w:rFonts w:ascii="Arial" w:hAnsi="Arial" w:cs="Arial"/>
          <w:sz w:val="22"/>
          <w:szCs w:val="22"/>
        </w:rPr>
      </w:pPr>
    </w:p>
    <w:p w14:paraId="200C16B3" w14:textId="77777777" w:rsidR="00F31BBA" w:rsidRPr="006F0D2E" w:rsidRDefault="00F31BBA" w:rsidP="00F31BBA">
      <w:pPr>
        <w:rPr>
          <w:rFonts w:ascii="Arial" w:hAnsi="Arial" w:cs="Arial"/>
          <w:sz w:val="22"/>
          <w:szCs w:val="22"/>
        </w:rPr>
      </w:pPr>
      <w:r w:rsidRPr="006F0D2E">
        <w:rPr>
          <w:rFonts w:ascii="Arial" w:hAnsi="Arial" w:cs="Arial"/>
          <w:sz w:val="22"/>
          <w:szCs w:val="22"/>
        </w:rPr>
        <w:t>The Code as it currently stands does not spell out the implications of non-compliance. This is an oversight and needs to be addressed.</w:t>
      </w:r>
    </w:p>
    <w:p w14:paraId="4B2ACC64" w14:textId="77777777" w:rsidR="00FC48A0" w:rsidRPr="006F0D2E" w:rsidRDefault="00FC48A0" w:rsidP="00F31BBA">
      <w:pPr>
        <w:rPr>
          <w:rFonts w:ascii="Arial" w:hAnsi="Arial" w:cs="Arial"/>
          <w:sz w:val="22"/>
          <w:szCs w:val="22"/>
        </w:rPr>
      </w:pPr>
    </w:p>
    <w:p w14:paraId="43EFE953" w14:textId="1BCB0C39" w:rsidR="00FC48A0" w:rsidRPr="006F0D2E" w:rsidRDefault="00FC48A0" w:rsidP="00F31BBA">
      <w:pPr>
        <w:rPr>
          <w:rFonts w:ascii="Arial" w:hAnsi="Arial" w:cs="Arial"/>
          <w:sz w:val="22"/>
          <w:szCs w:val="22"/>
        </w:rPr>
      </w:pPr>
      <w:r w:rsidRPr="006F0D2E">
        <w:rPr>
          <w:rFonts w:ascii="Arial" w:hAnsi="Arial" w:cs="Arial"/>
          <w:sz w:val="22"/>
          <w:szCs w:val="22"/>
        </w:rPr>
        <w:t xml:space="preserve">However, there are several good reminders in this Code about the importance of training and </w:t>
      </w:r>
      <w:r w:rsidR="00641D6D" w:rsidRPr="006F0D2E">
        <w:rPr>
          <w:rFonts w:ascii="Arial" w:hAnsi="Arial" w:cs="Arial"/>
          <w:sz w:val="22"/>
          <w:szCs w:val="22"/>
        </w:rPr>
        <w:t>communication with residents.</w:t>
      </w:r>
    </w:p>
    <w:p w14:paraId="57BEC7A7" w14:textId="77777777" w:rsidR="00F31BBA" w:rsidRPr="006F0D2E" w:rsidRDefault="00F31BBA" w:rsidP="00F31BBA">
      <w:pPr>
        <w:rPr>
          <w:rFonts w:ascii="Arial" w:hAnsi="Arial" w:cs="Arial"/>
          <w:sz w:val="22"/>
          <w:szCs w:val="22"/>
        </w:rPr>
      </w:pPr>
    </w:p>
    <w:p w14:paraId="4CFE3732" w14:textId="77777777" w:rsidR="00F31BBA" w:rsidRPr="006F0D2E" w:rsidRDefault="00F31BBA" w:rsidP="00F31BBA">
      <w:pPr>
        <w:rPr>
          <w:rFonts w:ascii="Arial" w:hAnsi="Arial" w:cs="Arial"/>
          <w:b/>
          <w:sz w:val="22"/>
          <w:szCs w:val="22"/>
        </w:rPr>
      </w:pPr>
      <w:r w:rsidRPr="006F0D2E">
        <w:rPr>
          <w:rFonts w:ascii="Arial" w:hAnsi="Arial" w:cs="Arial"/>
          <w:b/>
          <w:sz w:val="22"/>
          <w:szCs w:val="22"/>
        </w:rPr>
        <w:t>Specific comments</w:t>
      </w:r>
    </w:p>
    <w:p w14:paraId="226A36E4" w14:textId="77777777" w:rsidR="00F31BBA" w:rsidRPr="006F0D2E" w:rsidRDefault="00F31BBA" w:rsidP="00F31BBA">
      <w:pPr>
        <w:rPr>
          <w:rFonts w:ascii="Arial" w:hAnsi="Arial" w:cs="Arial"/>
          <w:b/>
          <w:sz w:val="22"/>
          <w:szCs w:val="22"/>
        </w:rPr>
      </w:pPr>
    </w:p>
    <w:p w14:paraId="5DF61651" w14:textId="77777777" w:rsidR="00F31BBA" w:rsidRPr="006F0D2E" w:rsidRDefault="00F31BBA" w:rsidP="00F31BBA">
      <w:pPr>
        <w:rPr>
          <w:rFonts w:ascii="Arial" w:hAnsi="Arial" w:cs="Arial"/>
          <w:sz w:val="22"/>
          <w:szCs w:val="22"/>
        </w:rPr>
      </w:pPr>
      <w:r w:rsidRPr="006F0D2E">
        <w:rPr>
          <w:rFonts w:ascii="Arial" w:hAnsi="Arial" w:cs="Arial"/>
          <w:sz w:val="22"/>
          <w:szCs w:val="22"/>
        </w:rPr>
        <w:t>B1.3: We need to be mindful of privacy issues when it comes to sharing information about current residents.</w:t>
      </w:r>
    </w:p>
    <w:p w14:paraId="0916DB65" w14:textId="77777777" w:rsidR="00F31BBA" w:rsidRPr="006F0D2E" w:rsidRDefault="00F31BBA" w:rsidP="00F31BBA">
      <w:pPr>
        <w:rPr>
          <w:rFonts w:ascii="Arial" w:hAnsi="Arial" w:cs="Arial"/>
          <w:sz w:val="22"/>
          <w:szCs w:val="22"/>
        </w:rPr>
      </w:pPr>
    </w:p>
    <w:p w14:paraId="5E1F2E02" w14:textId="77777777" w:rsidR="00F31BBA" w:rsidRPr="006F0D2E" w:rsidRDefault="00F31BBA" w:rsidP="00F31BBA">
      <w:pPr>
        <w:rPr>
          <w:rFonts w:ascii="Arial" w:hAnsi="Arial" w:cs="Arial"/>
          <w:sz w:val="22"/>
          <w:szCs w:val="22"/>
        </w:rPr>
      </w:pPr>
      <w:r w:rsidRPr="006F0D2E">
        <w:rPr>
          <w:rFonts w:ascii="Arial" w:hAnsi="Arial" w:cs="Arial"/>
          <w:sz w:val="22"/>
          <w:szCs w:val="22"/>
        </w:rPr>
        <w:t>B1.5: “Sufficient”: we recommend a clear timeframe. Sufficient is too loose a word.</w:t>
      </w:r>
    </w:p>
    <w:p w14:paraId="22BBD8CB" w14:textId="77777777" w:rsidR="00F31BBA" w:rsidRPr="006F0D2E" w:rsidRDefault="00F31BBA" w:rsidP="00F31BBA">
      <w:pPr>
        <w:rPr>
          <w:rFonts w:ascii="Arial" w:hAnsi="Arial" w:cs="Arial"/>
          <w:sz w:val="22"/>
          <w:szCs w:val="22"/>
        </w:rPr>
      </w:pPr>
    </w:p>
    <w:p w14:paraId="3D210EEB" w14:textId="77777777" w:rsidR="00F31BBA" w:rsidRPr="006F0D2E" w:rsidRDefault="00F31BBA" w:rsidP="00F31BBA">
      <w:pPr>
        <w:rPr>
          <w:rFonts w:ascii="Arial" w:hAnsi="Arial" w:cs="Arial"/>
          <w:sz w:val="22"/>
          <w:szCs w:val="22"/>
        </w:rPr>
      </w:pPr>
      <w:r w:rsidRPr="006F0D2E">
        <w:rPr>
          <w:rFonts w:ascii="Arial" w:hAnsi="Arial" w:cs="Arial"/>
          <w:sz w:val="22"/>
          <w:szCs w:val="22"/>
        </w:rPr>
        <w:t>B2.5</w:t>
      </w:r>
      <w:proofErr w:type="gramStart"/>
      <w:r w:rsidRPr="006F0D2E">
        <w:rPr>
          <w:rFonts w:ascii="Arial" w:hAnsi="Arial" w:cs="Arial"/>
          <w:sz w:val="22"/>
          <w:szCs w:val="22"/>
        </w:rPr>
        <w:t>:  “</w:t>
      </w:r>
      <w:proofErr w:type="gramEnd"/>
      <w:r w:rsidRPr="006F0D2E">
        <w:rPr>
          <w:rFonts w:ascii="Arial" w:hAnsi="Arial" w:cs="Arial"/>
          <w:sz w:val="22"/>
          <w:szCs w:val="22"/>
        </w:rPr>
        <w:t>If appropriate”: when won’t it be appropriate? This needs to be spelled out more clearly.</w:t>
      </w:r>
    </w:p>
    <w:p w14:paraId="734777B9" w14:textId="77777777" w:rsidR="00F31BBA" w:rsidRPr="006F0D2E" w:rsidRDefault="00F31BBA" w:rsidP="00F31BBA">
      <w:pPr>
        <w:rPr>
          <w:rFonts w:ascii="Arial" w:hAnsi="Arial" w:cs="Arial"/>
          <w:sz w:val="22"/>
          <w:szCs w:val="22"/>
        </w:rPr>
      </w:pPr>
    </w:p>
    <w:p w14:paraId="4C4A642C" w14:textId="77777777" w:rsidR="00FC48A0" w:rsidRPr="006F0D2E" w:rsidRDefault="00FC48A0" w:rsidP="00F31BBA">
      <w:pPr>
        <w:rPr>
          <w:rFonts w:ascii="Arial" w:hAnsi="Arial" w:cs="Arial"/>
          <w:sz w:val="22"/>
          <w:szCs w:val="22"/>
        </w:rPr>
      </w:pPr>
      <w:r w:rsidRPr="006F0D2E">
        <w:rPr>
          <w:rFonts w:ascii="Arial" w:hAnsi="Arial" w:cs="Arial"/>
          <w:sz w:val="22"/>
          <w:szCs w:val="22"/>
        </w:rPr>
        <w:t xml:space="preserve">B2.8: This clause </w:t>
      </w:r>
      <w:proofErr w:type="gramStart"/>
      <w:r w:rsidRPr="006F0D2E">
        <w:rPr>
          <w:rFonts w:ascii="Arial" w:hAnsi="Arial" w:cs="Arial"/>
          <w:sz w:val="22"/>
          <w:szCs w:val="22"/>
        </w:rPr>
        <w:t>has to</w:t>
      </w:r>
      <w:proofErr w:type="gramEnd"/>
      <w:r w:rsidRPr="006F0D2E">
        <w:rPr>
          <w:rFonts w:ascii="Arial" w:hAnsi="Arial" w:cs="Arial"/>
          <w:sz w:val="22"/>
          <w:szCs w:val="22"/>
        </w:rPr>
        <w:t xml:space="preserve"> be made in accordance with the Act. We should be wary of making any statement about this, however good the intention of the clause.</w:t>
      </w:r>
    </w:p>
    <w:p w14:paraId="40B5330B" w14:textId="77777777" w:rsidR="00FC48A0" w:rsidRPr="006F0D2E" w:rsidRDefault="00FC48A0" w:rsidP="00F31BBA">
      <w:pPr>
        <w:rPr>
          <w:rFonts w:ascii="Arial" w:hAnsi="Arial" w:cs="Arial"/>
          <w:sz w:val="22"/>
          <w:szCs w:val="22"/>
        </w:rPr>
      </w:pPr>
    </w:p>
    <w:p w14:paraId="4027562A" w14:textId="77777777" w:rsidR="00FC48A0" w:rsidRPr="006F0D2E" w:rsidRDefault="00FC48A0" w:rsidP="00F31BBA">
      <w:pPr>
        <w:rPr>
          <w:rFonts w:ascii="Arial" w:hAnsi="Arial" w:cs="Arial"/>
          <w:sz w:val="22"/>
          <w:szCs w:val="22"/>
        </w:rPr>
      </w:pPr>
      <w:r w:rsidRPr="006F0D2E">
        <w:rPr>
          <w:rFonts w:ascii="Arial" w:hAnsi="Arial" w:cs="Arial"/>
          <w:sz w:val="22"/>
          <w:szCs w:val="22"/>
        </w:rPr>
        <w:t xml:space="preserve">C2.1: This clause delves into areas which are not appropriate for a Code of Conduct. </w:t>
      </w:r>
    </w:p>
    <w:p w14:paraId="5D5EF6AE" w14:textId="77777777" w:rsidR="00FC48A0" w:rsidRPr="006F0D2E" w:rsidRDefault="00FC48A0" w:rsidP="00F31BBA">
      <w:pPr>
        <w:rPr>
          <w:rFonts w:ascii="Arial" w:hAnsi="Arial" w:cs="Arial"/>
          <w:sz w:val="22"/>
          <w:szCs w:val="22"/>
        </w:rPr>
      </w:pPr>
    </w:p>
    <w:p w14:paraId="5B0DD6A2" w14:textId="77777777" w:rsidR="00FC48A0" w:rsidRPr="006F0D2E" w:rsidRDefault="00FC48A0" w:rsidP="00F31BBA">
      <w:pPr>
        <w:rPr>
          <w:rFonts w:ascii="Arial" w:hAnsi="Arial" w:cs="Arial"/>
          <w:sz w:val="22"/>
          <w:szCs w:val="22"/>
        </w:rPr>
      </w:pPr>
      <w:r w:rsidRPr="006F0D2E">
        <w:rPr>
          <w:rFonts w:ascii="Arial" w:hAnsi="Arial" w:cs="Arial"/>
          <w:sz w:val="22"/>
          <w:szCs w:val="22"/>
        </w:rPr>
        <w:t>D1.1 “Endeavour: this does not mean that operators will be clear. The language needs to be strengthened.</w:t>
      </w:r>
    </w:p>
    <w:p w14:paraId="594D5D53" w14:textId="77777777" w:rsidR="00FC48A0" w:rsidRPr="006F0D2E" w:rsidRDefault="00FC48A0" w:rsidP="00F31BBA">
      <w:pPr>
        <w:rPr>
          <w:rFonts w:ascii="Arial" w:hAnsi="Arial" w:cs="Arial"/>
          <w:sz w:val="22"/>
          <w:szCs w:val="22"/>
        </w:rPr>
      </w:pPr>
    </w:p>
    <w:p w14:paraId="7924A6BA" w14:textId="77777777" w:rsidR="00FC48A0" w:rsidRPr="006F0D2E" w:rsidRDefault="00FC48A0" w:rsidP="00F31BBA">
      <w:pPr>
        <w:rPr>
          <w:rFonts w:ascii="Arial" w:hAnsi="Arial" w:cs="Arial"/>
          <w:sz w:val="22"/>
          <w:szCs w:val="22"/>
        </w:rPr>
      </w:pPr>
      <w:r w:rsidRPr="006F0D2E">
        <w:rPr>
          <w:rFonts w:ascii="Arial" w:hAnsi="Arial" w:cs="Arial"/>
          <w:sz w:val="22"/>
          <w:szCs w:val="22"/>
        </w:rPr>
        <w:t>Cost to code signatories: What are the costs involved; include a table in the final Code. Also, how can an operator ensure access to the CAC when and if required.</w:t>
      </w:r>
    </w:p>
    <w:p w14:paraId="0F80618B" w14:textId="77777777" w:rsidR="00FC48A0" w:rsidRPr="006F0D2E" w:rsidRDefault="00FC48A0" w:rsidP="00F31BBA">
      <w:pPr>
        <w:rPr>
          <w:rFonts w:ascii="Arial" w:hAnsi="Arial" w:cs="Arial"/>
          <w:sz w:val="22"/>
          <w:szCs w:val="22"/>
        </w:rPr>
      </w:pPr>
    </w:p>
    <w:p w14:paraId="36C12BE1" w14:textId="459C16A3" w:rsidR="00600872" w:rsidRPr="006F0D2E" w:rsidRDefault="00600872" w:rsidP="00F31BBA">
      <w:pPr>
        <w:rPr>
          <w:rFonts w:ascii="Arial" w:hAnsi="Arial" w:cs="Arial"/>
          <w:sz w:val="22"/>
          <w:szCs w:val="22"/>
        </w:rPr>
      </w:pPr>
      <w:bookmarkStart w:id="0" w:name="_GoBack"/>
      <w:bookmarkEnd w:id="0"/>
    </w:p>
    <w:sectPr w:rsidR="00600872" w:rsidRPr="006F0D2E" w:rsidSect="00C9319B">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88"/>
    <w:rsid w:val="00463DA2"/>
    <w:rsid w:val="00502288"/>
    <w:rsid w:val="00600872"/>
    <w:rsid w:val="00641D6D"/>
    <w:rsid w:val="006F0D2E"/>
    <w:rsid w:val="00973020"/>
    <w:rsid w:val="00C9319B"/>
    <w:rsid w:val="00D971C8"/>
    <w:rsid w:val="00F31BBA"/>
    <w:rsid w:val="00FC48A0"/>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0542EC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2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228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356</Words>
  <Characters>2035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Underwood</dc:creator>
  <cp:keywords/>
  <dc:description/>
  <cp:lastModifiedBy>Penny Underwood</cp:lastModifiedBy>
  <cp:revision>4</cp:revision>
  <dcterms:created xsi:type="dcterms:W3CDTF">2018-07-16T02:34:00Z</dcterms:created>
  <dcterms:modified xsi:type="dcterms:W3CDTF">2018-07-16T04:09:00Z</dcterms:modified>
</cp:coreProperties>
</file>